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C5" w:rsidRDefault="003F55C5" w:rsidP="00B86DDD">
      <w:pPr>
        <w:spacing w:line="570" w:lineRule="exact"/>
        <w:jc w:val="center"/>
        <w:rPr>
          <w:rFonts w:ascii="仿宋_GB2312"/>
        </w:rPr>
      </w:pPr>
    </w:p>
    <w:p w:rsidR="003F55C5" w:rsidRDefault="003F55C5" w:rsidP="00B86DDD">
      <w:pPr>
        <w:spacing w:line="570" w:lineRule="exact"/>
        <w:jc w:val="center"/>
        <w:rPr>
          <w:rFonts w:ascii="仿宋_GB2312"/>
        </w:rPr>
      </w:pPr>
    </w:p>
    <w:p w:rsidR="003F55C5" w:rsidRDefault="003F55C5" w:rsidP="00B86DDD">
      <w:pPr>
        <w:spacing w:line="570" w:lineRule="exact"/>
        <w:jc w:val="center"/>
        <w:rPr>
          <w:rFonts w:ascii="仿宋_GB2312"/>
        </w:rPr>
      </w:pPr>
    </w:p>
    <w:p w:rsidR="003F55C5" w:rsidRDefault="003F55C5" w:rsidP="00B86DDD">
      <w:pPr>
        <w:spacing w:line="570" w:lineRule="exact"/>
        <w:jc w:val="center"/>
        <w:rPr>
          <w:rFonts w:ascii="仿宋_GB2312"/>
        </w:rPr>
      </w:pPr>
    </w:p>
    <w:p w:rsidR="003F55C5" w:rsidRDefault="003F55C5" w:rsidP="00B86DDD">
      <w:pPr>
        <w:spacing w:line="570" w:lineRule="exact"/>
        <w:jc w:val="center"/>
        <w:rPr>
          <w:rFonts w:ascii="仿宋_GB2312"/>
        </w:rPr>
      </w:pPr>
    </w:p>
    <w:p w:rsidR="003F55C5" w:rsidRDefault="003F55C5" w:rsidP="00B86DDD">
      <w:pPr>
        <w:spacing w:line="570" w:lineRule="exact"/>
        <w:jc w:val="center"/>
        <w:rPr>
          <w:rFonts w:ascii="仿宋_GB2312"/>
        </w:rPr>
      </w:pPr>
    </w:p>
    <w:p w:rsidR="003F55C5" w:rsidRDefault="003F55C5" w:rsidP="00B86DDD">
      <w:pPr>
        <w:spacing w:line="570" w:lineRule="exact"/>
        <w:jc w:val="center"/>
        <w:rPr>
          <w:rFonts w:ascii="仿宋_GB2312"/>
        </w:rPr>
      </w:pPr>
    </w:p>
    <w:p w:rsidR="003F55C5" w:rsidRDefault="003F55C5" w:rsidP="00B86DDD">
      <w:pPr>
        <w:spacing w:line="570" w:lineRule="exact"/>
        <w:jc w:val="center"/>
        <w:rPr>
          <w:rFonts w:ascii="仿宋_GB2312" w:cs="仿宋_GB2312"/>
          <w:szCs w:val="32"/>
        </w:rPr>
      </w:pPr>
      <w:r>
        <w:rPr>
          <w:rFonts w:ascii="仿宋_GB2312" w:hAnsi="仿宋_GB2312" w:cs="仿宋_GB2312" w:hint="eastAsia"/>
          <w:szCs w:val="32"/>
        </w:rPr>
        <w:t>德政办〔</w:t>
      </w:r>
      <w:r>
        <w:rPr>
          <w:rFonts w:ascii="仿宋_GB2312" w:hAnsi="仿宋_GB2312" w:cs="仿宋_GB2312"/>
          <w:szCs w:val="32"/>
        </w:rPr>
        <w:t>2020</w:t>
      </w:r>
      <w:r>
        <w:rPr>
          <w:rFonts w:ascii="仿宋_GB2312" w:hAnsi="仿宋_GB2312" w:cs="仿宋_GB2312" w:hint="eastAsia"/>
          <w:szCs w:val="32"/>
        </w:rPr>
        <w:t>〕</w:t>
      </w:r>
      <w:r>
        <w:rPr>
          <w:rFonts w:ascii="仿宋_GB2312" w:hAnsi="仿宋_GB2312" w:cs="仿宋_GB2312"/>
          <w:szCs w:val="32"/>
        </w:rPr>
        <w:t>24</w:t>
      </w:r>
      <w:r>
        <w:rPr>
          <w:rFonts w:ascii="仿宋_GB2312" w:hAnsi="仿宋_GB2312" w:cs="仿宋_GB2312" w:hint="eastAsia"/>
          <w:szCs w:val="32"/>
        </w:rPr>
        <w:t>号</w:t>
      </w:r>
    </w:p>
    <w:p w:rsidR="003F55C5" w:rsidRDefault="003F55C5" w:rsidP="00B86DDD">
      <w:pPr>
        <w:spacing w:line="570" w:lineRule="exact"/>
        <w:jc w:val="center"/>
        <w:rPr>
          <w:rFonts w:ascii="方正小标宋简体" w:eastAsia="方正小标宋简体"/>
          <w:sz w:val="44"/>
          <w:szCs w:val="44"/>
        </w:rPr>
      </w:pPr>
    </w:p>
    <w:p w:rsidR="003F55C5" w:rsidRDefault="003F55C5" w:rsidP="00B86DDD">
      <w:pPr>
        <w:spacing w:line="570" w:lineRule="exact"/>
        <w:jc w:val="center"/>
        <w:rPr>
          <w:rFonts w:ascii="方正小标宋简体" w:eastAsia="方正小标宋简体"/>
          <w:sz w:val="44"/>
          <w:szCs w:val="44"/>
        </w:rPr>
      </w:pPr>
    </w:p>
    <w:p w:rsidR="003F55C5" w:rsidRDefault="003F55C5" w:rsidP="00B86DDD">
      <w:pPr>
        <w:spacing w:line="550" w:lineRule="exact"/>
        <w:jc w:val="center"/>
        <w:rPr>
          <w:rFonts w:ascii="Times New Roman" w:eastAsia="方正小标宋简体" w:hAnsi="Times New Roman"/>
          <w:w w:val="98"/>
          <w:sz w:val="44"/>
          <w:szCs w:val="44"/>
        </w:rPr>
      </w:pPr>
      <w:r>
        <w:rPr>
          <w:rFonts w:ascii="Times New Roman" w:eastAsia="方正小标宋简体" w:hAnsi="Times New Roman" w:hint="eastAsia"/>
          <w:w w:val="98"/>
          <w:sz w:val="44"/>
          <w:szCs w:val="44"/>
        </w:rPr>
        <w:t>德化县人民政府办公室关于印发进一步</w:t>
      </w:r>
    </w:p>
    <w:p w:rsidR="003F55C5" w:rsidRDefault="003F55C5" w:rsidP="00B86DDD">
      <w:pPr>
        <w:spacing w:line="550" w:lineRule="exact"/>
        <w:jc w:val="center"/>
        <w:rPr>
          <w:rFonts w:ascii="Times New Roman" w:eastAsia="方正小标宋简体" w:hAnsi="Times New Roman"/>
          <w:sz w:val="36"/>
          <w:szCs w:val="36"/>
        </w:rPr>
      </w:pPr>
      <w:r>
        <w:rPr>
          <w:rFonts w:ascii="Times New Roman" w:eastAsia="方正小标宋简体" w:hAnsi="Times New Roman" w:hint="eastAsia"/>
          <w:w w:val="98"/>
          <w:sz w:val="44"/>
          <w:szCs w:val="44"/>
        </w:rPr>
        <w:t>稳外</w:t>
      </w:r>
      <w:r>
        <w:rPr>
          <w:rFonts w:ascii="Times New Roman" w:eastAsia="方正小标宋简体" w:hAnsi="Times New Roman" w:hint="eastAsia"/>
          <w:sz w:val="44"/>
          <w:szCs w:val="44"/>
        </w:rPr>
        <w:t>贸稳外资促消费若干措施的通知</w:t>
      </w:r>
    </w:p>
    <w:p w:rsidR="003F55C5" w:rsidRDefault="003F55C5" w:rsidP="00B86DDD">
      <w:pPr>
        <w:spacing w:line="550" w:lineRule="exact"/>
        <w:jc w:val="left"/>
        <w:rPr>
          <w:rFonts w:ascii="仿宋_GB2312" w:cs="仿宋_GB2312"/>
          <w:kern w:val="0"/>
          <w:szCs w:val="32"/>
        </w:rPr>
      </w:pPr>
    </w:p>
    <w:p w:rsidR="003F55C5" w:rsidRDefault="003F55C5" w:rsidP="00B86DDD">
      <w:pPr>
        <w:spacing w:line="550" w:lineRule="exact"/>
        <w:rPr>
          <w:rFonts w:ascii="仿宋_GB2312" w:cs="仿宋_GB2312"/>
          <w:kern w:val="0"/>
          <w:szCs w:val="32"/>
        </w:rPr>
      </w:pPr>
      <w:r>
        <w:rPr>
          <w:rFonts w:ascii="仿宋_GB2312" w:hAnsi="仿宋_GB2312" w:cs="仿宋_GB2312" w:hint="eastAsia"/>
          <w:kern w:val="0"/>
          <w:szCs w:val="32"/>
        </w:rPr>
        <w:t>各乡镇人民政府，县直有关单位：</w:t>
      </w:r>
    </w:p>
    <w:p w:rsidR="003F55C5" w:rsidRDefault="003F55C5" w:rsidP="00B86DDD">
      <w:pPr>
        <w:spacing w:line="550" w:lineRule="exact"/>
        <w:ind w:firstLineChars="200" w:firstLine="632"/>
        <w:rPr>
          <w:rFonts w:ascii="仿宋_GB2312" w:hAnsi="仿宋_GB2312" w:cs="仿宋_GB2312"/>
          <w:kern w:val="0"/>
          <w:szCs w:val="32"/>
        </w:rPr>
      </w:pPr>
      <w:r>
        <w:rPr>
          <w:rFonts w:ascii="仿宋_GB2312" w:hAnsi="仿宋_GB2312" w:cs="仿宋_GB2312" w:hint="eastAsia"/>
          <w:kern w:val="0"/>
          <w:szCs w:val="32"/>
        </w:rPr>
        <w:t>为贯彻落实省、市关于做好“六稳”工作决策部署，全面落实我县已出台的稳外贸稳外资促消费系列政策，进一步推进高质量发展，提出以下措施</w:t>
      </w:r>
      <w:r>
        <w:rPr>
          <w:rFonts w:ascii="仿宋_GB2312" w:hAnsi="仿宋_GB2312" w:cs="仿宋_GB2312"/>
          <w:kern w:val="0"/>
          <w:szCs w:val="32"/>
        </w:rPr>
        <w:t>:</w:t>
      </w:r>
    </w:p>
    <w:p w:rsidR="003F55C5" w:rsidRDefault="003F55C5" w:rsidP="00B86DDD">
      <w:pPr>
        <w:spacing w:line="550" w:lineRule="exact"/>
        <w:ind w:firstLineChars="200" w:firstLine="632"/>
        <w:rPr>
          <w:rFonts w:ascii="黑体" w:eastAsia="黑体" w:hAnsi="黑体" w:cs="黑体"/>
          <w:kern w:val="0"/>
          <w:szCs w:val="32"/>
        </w:rPr>
      </w:pPr>
      <w:r>
        <w:rPr>
          <w:rFonts w:ascii="黑体" w:eastAsia="黑体" w:hAnsi="黑体" w:cs="黑体"/>
          <w:kern w:val="0"/>
          <w:szCs w:val="32"/>
        </w:rPr>
        <w:t xml:space="preserve"> </w:t>
      </w:r>
      <w:r>
        <w:rPr>
          <w:rFonts w:ascii="黑体" w:eastAsia="黑体" w:hAnsi="黑体" w:cs="黑体" w:hint="eastAsia"/>
          <w:kern w:val="0"/>
          <w:szCs w:val="32"/>
        </w:rPr>
        <w:t>一、优化外贸全链条发展</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一</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加快外贸转型产业集群建设。</w:t>
      </w:r>
      <w:r>
        <w:rPr>
          <w:rFonts w:ascii="仿宋_GB2312" w:hAnsi="仿宋_GB2312" w:cs="仿宋_GB2312" w:hint="eastAsia"/>
          <w:kern w:val="0"/>
          <w:szCs w:val="32"/>
        </w:rPr>
        <w:t>整合政策、资金等资源，发挥我县陶瓷国家外贸转型升级示范基地作用，推动工贸对接、科贸协作、货物贸易与服务贸易联动发展，保障产业链供应链畅通运转。给予融资、信保、品牌建设等鼓励支持，培育一批出口重点商品和龙头企业。落实外贸经营主体培育工程，引导未开展外贸出口业务的企业“无转有”“内兼外”，不断发展外贸经营队伍，力争全年新增自营进出口权备案登记企业</w:t>
      </w:r>
      <w:r>
        <w:rPr>
          <w:rFonts w:ascii="仿宋_GB2312" w:hAnsi="仿宋_GB2312" w:cs="仿宋_GB2312"/>
          <w:kern w:val="0"/>
          <w:szCs w:val="32"/>
        </w:rPr>
        <w:t>60</w:t>
      </w:r>
      <w:r>
        <w:rPr>
          <w:rFonts w:ascii="仿宋_GB2312" w:hAnsi="仿宋_GB2312" w:cs="仿宋_GB2312" w:hint="eastAsia"/>
          <w:kern w:val="0"/>
          <w:szCs w:val="32"/>
        </w:rPr>
        <w:t>家。</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县工信商务局、科技局、金融办、市场监管局、财政局</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二</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助力企业开拓国际市场。</w:t>
      </w:r>
      <w:r>
        <w:rPr>
          <w:rFonts w:ascii="仿宋_GB2312" w:hAnsi="仿宋_GB2312" w:cs="仿宋_GB2312" w:hint="eastAsia"/>
          <w:kern w:val="0"/>
          <w:szCs w:val="32"/>
        </w:rPr>
        <w:t>鼓励引导企业精准开拓国际市场，全力稳住欧美日和东盟等传统市场，拓展“一带一路”市场、新兴市场。待境外展会恢复举办，组织企业参加陶瓷行业境外知名展会，扩大和提升德化陶瓷品牌影响力和知名度，对符合开拓市场条件的企业给予一定的资金支持。</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县工信商务局、财政局、贸促会</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三</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利用线上平台拓展市场。</w:t>
      </w:r>
      <w:r>
        <w:rPr>
          <w:rFonts w:ascii="仿宋_GB2312" w:hAnsi="仿宋_GB2312" w:cs="仿宋_GB2312" w:hint="eastAsia"/>
          <w:kern w:val="0"/>
          <w:szCs w:val="32"/>
        </w:rPr>
        <w:t>鼓励企业参加各类线上展销活动，开拓多元化市场。对工信商务局和贸促部门组织参加的国际线上展销活动的外贸企业，按展位费的</w:t>
      </w:r>
      <w:r>
        <w:rPr>
          <w:rFonts w:ascii="仿宋_GB2312" w:hAnsi="仿宋_GB2312" w:cs="仿宋_GB2312"/>
          <w:kern w:val="0"/>
          <w:szCs w:val="32"/>
        </w:rPr>
        <w:t>50%</w:t>
      </w:r>
      <w:r>
        <w:rPr>
          <w:rFonts w:ascii="仿宋_GB2312" w:hAnsi="仿宋_GB2312" w:cs="仿宋_GB2312" w:hint="eastAsia"/>
          <w:kern w:val="0"/>
          <w:szCs w:val="32"/>
        </w:rPr>
        <w:t>给予补助，每家企业每次最高补助</w:t>
      </w:r>
      <w:r>
        <w:rPr>
          <w:rFonts w:ascii="仿宋_GB2312" w:hAnsi="仿宋_GB2312" w:cs="仿宋_GB2312"/>
          <w:kern w:val="0"/>
          <w:szCs w:val="32"/>
        </w:rPr>
        <w:t>1</w:t>
      </w:r>
      <w:r>
        <w:rPr>
          <w:rFonts w:ascii="仿宋_GB2312" w:hAnsi="仿宋_GB2312" w:cs="仿宋_GB2312" w:hint="eastAsia"/>
          <w:kern w:val="0"/>
          <w:szCs w:val="32"/>
        </w:rPr>
        <w:t>万元，展位数量和线下参展合并计算，每家企业每年参展补助摊位不超过</w:t>
      </w:r>
      <w:r>
        <w:rPr>
          <w:rFonts w:ascii="仿宋_GB2312" w:hAnsi="仿宋_GB2312" w:cs="仿宋_GB2312"/>
          <w:kern w:val="0"/>
          <w:szCs w:val="32"/>
        </w:rPr>
        <w:t>5</w:t>
      </w:r>
      <w:r>
        <w:rPr>
          <w:rFonts w:ascii="仿宋_GB2312" w:hAnsi="仿宋_GB2312" w:cs="仿宋_GB2312" w:hint="eastAsia"/>
          <w:kern w:val="0"/>
          <w:szCs w:val="32"/>
        </w:rPr>
        <w:t>个。</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县工信商务局、财政局、贸促会</w:t>
      </w:r>
      <w:r>
        <w:rPr>
          <w:rFonts w:ascii="仿宋_GB2312" w:hAnsi="仿宋_GB2312" w:cs="仿宋_GB2312"/>
          <w:kern w:val="0"/>
          <w:szCs w:val="32"/>
        </w:rPr>
        <w:t>)</w:t>
      </w:r>
    </w:p>
    <w:p w:rsidR="003F55C5" w:rsidRDefault="003F55C5" w:rsidP="00B86DDD">
      <w:pPr>
        <w:spacing w:line="550" w:lineRule="exact"/>
        <w:ind w:firstLineChars="200" w:firstLine="632"/>
        <w:jc w:val="left"/>
        <w:rPr>
          <w:rFonts w:ascii="仿宋_GB2312" w:hAnsi="仿宋_GB2312" w:cs="仿宋_GB2312"/>
          <w:kern w:val="0"/>
          <w:szCs w:val="32"/>
        </w:rPr>
      </w:pPr>
      <w:r w:rsidRPr="00B86DDD">
        <w:rPr>
          <w:rFonts w:ascii="楷体_GB2312" w:eastAsia="楷体_GB2312" w:hAnsi="楷体" w:cs="楷体" w:hint="eastAsia"/>
          <w:kern w:val="0"/>
          <w:szCs w:val="32"/>
        </w:rPr>
        <w:t>（四</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创新外贸发展方式。</w:t>
      </w:r>
      <w:r>
        <w:rPr>
          <w:rFonts w:ascii="仿宋_GB2312" w:hAnsi="仿宋_GB2312" w:cs="仿宋_GB2312" w:hint="eastAsia"/>
          <w:kern w:val="0"/>
          <w:szCs w:val="32"/>
        </w:rPr>
        <w:t>探索进驻石狮市场采购集聚区，引进外贸服务企业，支持我县陶瓷企业开展市场采购贸易，复制推广市场采购模式。鼓励和支持有条件的企业开展跨境电子商务业务，对使用阿里巴巴“出口通”服务的企业，每家一次性给予</w:t>
      </w:r>
      <w:r>
        <w:rPr>
          <w:rFonts w:ascii="仿宋_GB2312" w:hAnsi="仿宋_GB2312" w:cs="仿宋_GB2312"/>
          <w:kern w:val="0"/>
          <w:szCs w:val="32"/>
        </w:rPr>
        <w:t>5000</w:t>
      </w:r>
      <w:r>
        <w:rPr>
          <w:rFonts w:ascii="仿宋_GB2312" w:hAnsi="仿宋_GB2312" w:cs="仿宋_GB2312" w:hint="eastAsia"/>
          <w:kern w:val="0"/>
          <w:szCs w:val="32"/>
        </w:rPr>
        <w:t>元首年服务费（会员费）补助。引导我县传统外贸企业开展跨境电商，对有自营进出口权企业使用</w:t>
      </w:r>
      <w:r>
        <w:rPr>
          <w:rFonts w:ascii="仿宋_GB2312" w:hAnsi="仿宋_GB2312" w:cs="仿宋_GB2312"/>
          <w:kern w:val="0"/>
          <w:szCs w:val="32"/>
        </w:rPr>
        <w:t>RTS</w:t>
      </w:r>
      <w:r>
        <w:rPr>
          <w:rFonts w:ascii="仿宋_GB2312" w:hAnsi="仿宋_GB2312" w:cs="仿宋_GB2312" w:hint="eastAsia"/>
          <w:kern w:val="0"/>
          <w:szCs w:val="32"/>
        </w:rPr>
        <w:t>、出口通等第三方跨境平台开展跨境电商业务的，经认定后，网上年销售额首次超过</w:t>
      </w:r>
      <w:r>
        <w:rPr>
          <w:rFonts w:ascii="仿宋_GB2312" w:hAnsi="仿宋_GB2312" w:cs="仿宋_GB2312"/>
          <w:kern w:val="0"/>
          <w:szCs w:val="32"/>
        </w:rPr>
        <w:t>100</w:t>
      </w:r>
      <w:r>
        <w:rPr>
          <w:rFonts w:ascii="仿宋_GB2312" w:hAnsi="仿宋_GB2312" w:cs="仿宋_GB2312" w:hint="eastAsia"/>
          <w:kern w:val="0"/>
          <w:szCs w:val="32"/>
        </w:rPr>
        <w:t>万美元、</w:t>
      </w:r>
      <w:r>
        <w:rPr>
          <w:rFonts w:ascii="仿宋_GB2312" w:hAnsi="仿宋_GB2312" w:cs="仿宋_GB2312"/>
          <w:kern w:val="0"/>
          <w:szCs w:val="32"/>
        </w:rPr>
        <w:t>200</w:t>
      </w:r>
      <w:r>
        <w:rPr>
          <w:rFonts w:ascii="仿宋_GB2312" w:hAnsi="仿宋_GB2312" w:cs="仿宋_GB2312" w:hint="eastAsia"/>
          <w:kern w:val="0"/>
          <w:szCs w:val="32"/>
        </w:rPr>
        <w:t>万美元、</w:t>
      </w:r>
      <w:r>
        <w:rPr>
          <w:rFonts w:ascii="仿宋_GB2312" w:hAnsi="仿宋_GB2312" w:cs="仿宋_GB2312"/>
          <w:kern w:val="0"/>
          <w:szCs w:val="32"/>
        </w:rPr>
        <w:t>500</w:t>
      </w:r>
      <w:r>
        <w:rPr>
          <w:rFonts w:ascii="仿宋_GB2312" w:hAnsi="仿宋_GB2312" w:cs="仿宋_GB2312" w:hint="eastAsia"/>
          <w:kern w:val="0"/>
          <w:szCs w:val="32"/>
        </w:rPr>
        <w:t>万美元的，分别一次性给予</w:t>
      </w:r>
      <w:r>
        <w:rPr>
          <w:rFonts w:ascii="仿宋_GB2312" w:hAnsi="仿宋_GB2312" w:cs="仿宋_GB2312"/>
          <w:kern w:val="0"/>
          <w:szCs w:val="32"/>
        </w:rPr>
        <w:t>5000</w:t>
      </w:r>
      <w:r>
        <w:rPr>
          <w:rFonts w:ascii="仿宋_GB2312" w:hAnsi="仿宋_GB2312" w:cs="仿宋_GB2312" w:hint="eastAsia"/>
          <w:kern w:val="0"/>
          <w:szCs w:val="32"/>
        </w:rPr>
        <w:t>元、</w:t>
      </w:r>
      <w:r>
        <w:rPr>
          <w:rFonts w:ascii="仿宋_GB2312" w:hAnsi="仿宋_GB2312" w:cs="仿宋_GB2312"/>
          <w:kern w:val="0"/>
          <w:szCs w:val="32"/>
        </w:rPr>
        <w:t>1</w:t>
      </w:r>
      <w:r>
        <w:rPr>
          <w:rFonts w:ascii="仿宋_GB2312" w:hAnsi="仿宋_GB2312" w:cs="仿宋_GB2312" w:hint="eastAsia"/>
          <w:kern w:val="0"/>
          <w:szCs w:val="32"/>
        </w:rPr>
        <w:t>万元、</w:t>
      </w:r>
      <w:r>
        <w:rPr>
          <w:rFonts w:ascii="仿宋_GB2312" w:hAnsi="仿宋_GB2312" w:cs="仿宋_GB2312"/>
          <w:kern w:val="0"/>
          <w:szCs w:val="32"/>
        </w:rPr>
        <w:t>3</w:t>
      </w:r>
      <w:r>
        <w:rPr>
          <w:rFonts w:ascii="仿宋_GB2312" w:hAnsi="仿宋_GB2312" w:cs="仿宋_GB2312" w:hint="eastAsia"/>
          <w:kern w:val="0"/>
          <w:szCs w:val="32"/>
        </w:rPr>
        <w:t>万元的奖励。</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县工信商务局、税务局、人行泉州支行德化分行、财政局</w:t>
      </w:r>
      <w:r>
        <w:rPr>
          <w:rFonts w:ascii="仿宋_GB2312" w:hAnsi="仿宋_GB2312" w:cs="仿宋_GB2312"/>
          <w:kern w:val="0"/>
          <w:szCs w:val="32"/>
        </w:rPr>
        <w:t>)</w:t>
      </w:r>
    </w:p>
    <w:p w:rsidR="003F55C5" w:rsidRDefault="003F55C5" w:rsidP="00B86DDD">
      <w:pPr>
        <w:spacing w:line="550" w:lineRule="exact"/>
        <w:ind w:firstLineChars="200" w:firstLine="632"/>
        <w:jc w:val="left"/>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五</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加强出口信用保险支持。</w:t>
      </w:r>
      <w:r>
        <w:rPr>
          <w:rFonts w:ascii="仿宋_GB2312" w:hAnsi="仿宋_GB2312" w:cs="仿宋_GB2312" w:hint="eastAsia"/>
          <w:kern w:val="0"/>
          <w:szCs w:val="32"/>
        </w:rPr>
        <w:t>鼓励出口企业强化风险防控意识，投保出口信用保险，叠加上级政策资金补助，对当年度投保出口信用保险的企业给予政策支持。组织年出口额在</w:t>
      </w:r>
      <w:r>
        <w:rPr>
          <w:rFonts w:ascii="仿宋_GB2312" w:hAnsi="仿宋_GB2312" w:cs="仿宋_GB2312"/>
          <w:kern w:val="0"/>
          <w:szCs w:val="32"/>
        </w:rPr>
        <w:t>300</w:t>
      </w:r>
      <w:r>
        <w:rPr>
          <w:rFonts w:ascii="仿宋_GB2312" w:hAnsi="仿宋_GB2312" w:cs="仿宋_GB2312" w:hint="eastAsia"/>
          <w:kern w:val="0"/>
          <w:szCs w:val="32"/>
        </w:rPr>
        <w:t>万美元以下的小微企业通过福建省国际贸易“单一窗口”投保，免费享受统保政策，防范国际风险。</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县工信商务局、财政局</w:t>
      </w:r>
      <w:r>
        <w:rPr>
          <w:rFonts w:ascii="仿宋_GB2312" w:hAnsi="仿宋_GB2312" w:cs="仿宋_GB2312"/>
          <w:kern w:val="0"/>
          <w:szCs w:val="32"/>
        </w:rPr>
        <w:t>)</w:t>
      </w:r>
    </w:p>
    <w:p w:rsidR="003F55C5" w:rsidRDefault="003F55C5" w:rsidP="00B86DDD">
      <w:pPr>
        <w:spacing w:line="550" w:lineRule="exact"/>
        <w:ind w:firstLineChars="200" w:firstLine="632"/>
        <w:rPr>
          <w:rFonts w:ascii="黑体" w:eastAsia="黑体" w:hAnsi="黑体" w:cs="黑体"/>
          <w:kern w:val="0"/>
          <w:szCs w:val="32"/>
        </w:rPr>
      </w:pPr>
      <w:r>
        <w:rPr>
          <w:rFonts w:ascii="黑体" w:eastAsia="黑体" w:hAnsi="黑体" w:cs="黑体"/>
          <w:kern w:val="0"/>
          <w:szCs w:val="32"/>
        </w:rPr>
        <w:t xml:space="preserve"> </w:t>
      </w:r>
      <w:r>
        <w:rPr>
          <w:rFonts w:ascii="黑体" w:eastAsia="黑体" w:hAnsi="黑体" w:cs="黑体" w:hint="eastAsia"/>
          <w:kern w:val="0"/>
          <w:szCs w:val="32"/>
        </w:rPr>
        <w:t>二、构建高水平开放新格局</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六</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优化外商投资企业科技创新服务。</w:t>
      </w:r>
      <w:r>
        <w:rPr>
          <w:rFonts w:ascii="仿宋_GB2312" w:hAnsi="仿宋_GB2312" w:cs="仿宋_GB2312" w:hint="eastAsia"/>
          <w:kern w:val="0"/>
          <w:szCs w:val="32"/>
        </w:rPr>
        <w:t>进一步落实高新技术企业政策，加强对外商投资企业申请高新技术企业认定的指导和服务，组织开展政策专题培训，加强政策宣传。鼓励和引导外资更多投向高新技术产业，鼓励外资企业采用先进适用的新技术、新设备、新工艺和新标准实施技术改造，符合条件的享受相关扶持政策。</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县科技局、工信商务局、财政局</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七</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加大外资招商引资力度。</w:t>
      </w:r>
      <w:r>
        <w:rPr>
          <w:rFonts w:ascii="仿宋_GB2312" w:hAnsi="仿宋_GB2312" w:cs="仿宋_GB2312" w:hint="eastAsia"/>
          <w:kern w:val="0"/>
          <w:szCs w:val="32"/>
        </w:rPr>
        <w:t>密切跟踪世界</w:t>
      </w:r>
      <w:r>
        <w:rPr>
          <w:rFonts w:ascii="仿宋_GB2312" w:hAnsi="仿宋_GB2312" w:cs="仿宋_GB2312"/>
          <w:kern w:val="0"/>
          <w:szCs w:val="32"/>
        </w:rPr>
        <w:t>500</w:t>
      </w:r>
      <w:r>
        <w:rPr>
          <w:rFonts w:ascii="仿宋_GB2312" w:hAnsi="仿宋_GB2312" w:cs="仿宋_GB2312" w:hint="eastAsia"/>
          <w:kern w:val="0"/>
          <w:szCs w:val="32"/>
        </w:rPr>
        <w:t>强、行业龙头、台湾百大企业投资动向和布局，锁定对接目标客商。积极宣传我县丰富的自然资源优势，梳理要素保障情况，加强招商推介。利用“</w:t>
      </w:r>
      <w:r>
        <w:rPr>
          <w:rFonts w:ascii="仿宋_GB2312" w:hAnsi="仿宋_GB2312" w:cs="仿宋_GB2312"/>
          <w:kern w:val="0"/>
          <w:szCs w:val="32"/>
        </w:rPr>
        <w:t>6</w:t>
      </w:r>
      <w:r>
        <w:rPr>
          <w:rFonts w:ascii="仿宋_GB2312" w:hAnsi="仿宋_GB2312" w:cs="仿宋_GB2312" w:hint="eastAsia"/>
          <w:kern w:val="0"/>
          <w:szCs w:val="32"/>
        </w:rPr>
        <w:t>·</w:t>
      </w:r>
      <w:r>
        <w:rPr>
          <w:rFonts w:ascii="仿宋_GB2312" w:hAnsi="仿宋_GB2312" w:cs="仿宋_GB2312"/>
          <w:kern w:val="0"/>
          <w:szCs w:val="32"/>
        </w:rPr>
        <w:t>18</w:t>
      </w:r>
      <w:r>
        <w:rPr>
          <w:rFonts w:ascii="仿宋_GB2312" w:hAnsi="仿宋_GB2312" w:cs="仿宋_GB2312" w:hint="eastAsia"/>
          <w:kern w:val="0"/>
          <w:szCs w:val="32"/>
        </w:rPr>
        <w:t>”“</w:t>
      </w:r>
      <w:r>
        <w:rPr>
          <w:rFonts w:ascii="仿宋_GB2312" w:hAnsi="仿宋_GB2312" w:cs="仿宋_GB2312"/>
          <w:kern w:val="0"/>
          <w:szCs w:val="32"/>
        </w:rPr>
        <w:t>9</w:t>
      </w:r>
      <w:r>
        <w:rPr>
          <w:rFonts w:ascii="仿宋_GB2312" w:hAnsi="仿宋_GB2312" w:cs="仿宋_GB2312" w:hint="eastAsia"/>
          <w:kern w:val="0"/>
          <w:szCs w:val="32"/>
        </w:rPr>
        <w:t>·</w:t>
      </w:r>
      <w:r>
        <w:rPr>
          <w:rFonts w:ascii="仿宋_GB2312" w:hAnsi="仿宋_GB2312" w:cs="仿宋_GB2312"/>
          <w:kern w:val="0"/>
          <w:szCs w:val="32"/>
        </w:rPr>
        <w:t>8</w:t>
      </w:r>
      <w:r>
        <w:rPr>
          <w:rFonts w:ascii="仿宋_GB2312" w:hAnsi="仿宋_GB2312" w:cs="仿宋_GB2312" w:hint="eastAsia"/>
          <w:kern w:val="0"/>
          <w:szCs w:val="32"/>
        </w:rPr>
        <w:t>”等重点投资促进活动，扩大对外招商，提升项目对接成效。积极推动重点外资项目履约到资。深入实施产业龙头企业发展计划，着力培育带动力强、辐射面广的龙头企业和产业链核心企业，不断提高利用外资规模水平。</w:t>
      </w:r>
      <w:r>
        <w:rPr>
          <w:rFonts w:ascii="仿宋_GB2312" w:hAnsi="仿宋_GB2312" w:cs="仿宋_GB2312"/>
          <w:kern w:val="0"/>
          <w:szCs w:val="32"/>
        </w:rPr>
        <w:t>(</w:t>
      </w:r>
      <w:r>
        <w:rPr>
          <w:rFonts w:ascii="仿宋_GB2312" w:hAnsi="仿宋_GB2312" w:cs="仿宋_GB2312" w:hint="eastAsia"/>
          <w:kern w:val="0"/>
          <w:szCs w:val="32"/>
        </w:rPr>
        <w:t>责任单位：县工信商务局、招商办、发改局</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cs="仿宋_GB2312"/>
          <w:kern w:val="0"/>
          <w:szCs w:val="32"/>
        </w:rPr>
      </w:pPr>
      <w:r w:rsidRPr="00B86DDD">
        <w:rPr>
          <w:rFonts w:ascii="楷体_GB2312" w:eastAsia="楷体_GB2312" w:hAnsi="楷体" w:cs="楷体" w:hint="eastAsia"/>
          <w:kern w:val="0"/>
          <w:szCs w:val="32"/>
        </w:rPr>
        <w:t>（八）创新外商投资促进服务体系。</w:t>
      </w:r>
      <w:r>
        <w:rPr>
          <w:rFonts w:ascii="仿宋_GB2312" w:hAnsi="仿宋_GB2312" w:cs="仿宋_GB2312" w:hint="eastAsia"/>
          <w:kern w:val="0"/>
          <w:szCs w:val="32"/>
        </w:rPr>
        <w:t>发挥境外商协会、海外同乡会等作用，开展全方位多领域外商投资促进合作，搭建海外招商平台。建立领导挂钩服务机制和重点企业联系制度，提供专业化、全流程服务。加强全县因公出国量化指标统筹，重点用于招商，对出境招商活动、团组申请等予以支持，配合做好市县联合境外招商。</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县外事办、招商办、侨联）</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九</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推动外资政策落地见效。</w:t>
      </w:r>
      <w:r>
        <w:rPr>
          <w:rFonts w:ascii="仿宋_GB2312" w:hAnsi="仿宋_GB2312" w:cs="仿宋_GB2312" w:hint="eastAsia"/>
          <w:kern w:val="0"/>
          <w:szCs w:val="32"/>
        </w:rPr>
        <w:t>鼓励外资企业加快到资，落实实际外资奖励政策，对符合条件的企业落实奖励。</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县工信商务局、财政局</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十</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降低资金跨境使用成本。</w:t>
      </w:r>
      <w:r>
        <w:rPr>
          <w:rFonts w:ascii="仿宋_GB2312" w:hAnsi="仿宋_GB2312" w:cs="仿宋_GB2312" w:hint="eastAsia"/>
          <w:kern w:val="0"/>
          <w:szCs w:val="32"/>
        </w:rPr>
        <w:t>积极推进资本项目收入支付便利化改革，更好服务实体经济发展，实施企业发行外债登记制度改革，完善全口径跨境融资宏观审慎管理政策，支持外商投资企业自主选择借用外债模式，降低融资成本；鼓励外商投资企业资本金依法用于境内股权投资。（责任单位：县金融办、人行泉州支行德化分行、发改局、工信商务局）</w:t>
      </w:r>
    </w:p>
    <w:p w:rsidR="003F55C5" w:rsidRDefault="003F55C5" w:rsidP="00B86DDD">
      <w:pPr>
        <w:spacing w:line="550" w:lineRule="exact"/>
        <w:ind w:firstLineChars="200" w:firstLine="632"/>
        <w:rPr>
          <w:rFonts w:ascii="仿宋_GB2312" w:cs="仿宋_GB2312"/>
          <w:kern w:val="0"/>
          <w:szCs w:val="32"/>
        </w:rPr>
      </w:pPr>
      <w:r w:rsidRPr="00B86DDD">
        <w:rPr>
          <w:rFonts w:ascii="楷体_GB2312" w:eastAsia="楷体_GB2312" w:hAnsi="楷体" w:cs="楷体" w:hint="eastAsia"/>
          <w:kern w:val="0"/>
          <w:szCs w:val="32"/>
        </w:rPr>
        <w:t>（十一）进一步保障外商投资合法权益。</w:t>
      </w:r>
      <w:r>
        <w:rPr>
          <w:rFonts w:ascii="仿宋_GB2312" w:hAnsi="仿宋_GB2312" w:cs="仿宋_GB2312" w:hint="eastAsia"/>
          <w:kern w:val="0"/>
          <w:szCs w:val="32"/>
        </w:rPr>
        <w:t>严格贯彻落实外商投资法及配套法规，建立健全外商投资企业投诉受理机制，提高行政规范性文件制定透明度，强化监管政策执行规范性，完善知识产权保护工作机制，支持外资企业参与标准制定和依法平等参与政府采购，切实保护外商投资企业合法权益。（责任单位：县工信商务局、发改局）</w:t>
      </w:r>
    </w:p>
    <w:p w:rsidR="003F55C5" w:rsidRDefault="003F55C5" w:rsidP="00B86DDD">
      <w:pPr>
        <w:spacing w:line="550" w:lineRule="exact"/>
        <w:ind w:firstLineChars="200" w:firstLine="632"/>
        <w:rPr>
          <w:rFonts w:ascii="黑体" w:eastAsia="黑体" w:hAnsi="黑体" w:cs="黑体"/>
          <w:kern w:val="0"/>
          <w:szCs w:val="32"/>
        </w:rPr>
      </w:pPr>
      <w:r>
        <w:rPr>
          <w:rFonts w:ascii="黑体" w:eastAsia="黑体" w:hAnsi="黑体" w:cs="黑体" w:hint="eastAsia"/>
          <w:kern w:val="0"/>
          <w:szCs w:val="32"/>
        </w:rPr>
        <w:t>三、加快消费提质扩容</w:t>
      </w:r>
    </w:p>
    <w:p w:rsidR="003F55C5" w:rsidRDefault="003F55C5" w:rsidP="00B86DDD">
      <w:pPr>
        <w:spacing w:line="550" w:lineRule="exact"/>
        <w:ind w:firstLineChars="200" w:firstLine="632"/>
        <w:rPr>
          <w:rFonts w:asci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十二</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培育发展夜间经济。</w:t>
      </w:r>
      <w:r w:rsidRPr="00075047">
        <w:rPr>
          <w:rFonts w:ascii="仿宋_GB2312" w:hAnsi="楷体" w:cs="楷体" w:hint="eastAsia"/>
          <w:kern w:val="0"/>
          <w:szCs w:val="32"/>
        </w:rPr>
        <w:t>围绕夜购、夜游、夜娱等主题，</w:t>
      </w:r>
      <w:r w:rsidRPr="00075047">
        <w:rPr>
          <w:rFonts w:ascii="仿宋_GB2312" w:hAnsi="仿宋_GB2312" w:cs="仿宋_GB2312" w:hint="eastAsia"/>
          <w:kern w:val="0"/>
          <w:szCs w:val="32"/>
        </w:rPr>
        <w:t>繁荣城市夜生活。</w:t>
      </w:r>
      <w:r>
        <w:rPr>
          <w:rFonts w:ascii="仿宋_GB2312" w:hAnsi="仿宋_GB2312" w:cs="仿宋_GB2312" w:hint="eastAsia"/>
          <w:kern w:val="0"/>
          <w:szCs w:val="32"/>
        </w:rPr>
        <w:t>一是举办夜间市集，充分发挥陶瓷文化、自然生态资源优势，依托陶瓷企业、旅游企业，打造陶瓷体验、夜间观景、深夜食点、休闲娱乐等消费产品，促进夜间经济多元化发展，力争年底前打造</w:t>
      </w:r>
      <w:r>
        <w:rPr>
          <w:rFonts w:ascii="仿宋_GB2312" w:hAnsi="仿宋_GB2312" w:cs="仿宋_GB2312"/>
          <w:kern w:val="0"/>
          <w:szCs w:val="32"/>
        </w:rPr>
        <w:t>1-2</w:t>
      </w:r>
      <w:r>
        <w:rPr>
          <w:rFonts w:ascii="仿宋_GB2312" w:hAnsi="仿宋_GB2312" w:cs="仿宋_GB2312" w:hint="eastAsia"/>
          <w:kern w:val="0"/>
          <w:szCs w:val="32"/>
        </w:rPr>
        <w:t>个特色鲜明、业态多元、亮丽美观的夜间集市。鼓励南门瓷都广场、影城财富广场、臻峰美食城、三班茶具城等商圈延长夜间消费时长，便利夜生活消费。二是丰富夜游、夜娱内容，开展西门陶瓷街、湖前农特产品街、影城步行街</w:t>
      </w:r>
      <w:r>
        <w:rPr>
          <w:rFonts w:ascii="仿宋_GB2312" w:hAnsi="仿宋_GB2312" w:cs="仿宋_GB2312"/>
          <w:kern w:val="0"/>
          <w:szCs w:val="32"/>
        </w:rPr>
        <w:t>3</w:t>
      </w:r>
      <w:r>
        <w:rPr>
          <w:rFonts w:ascii="仿宋_GB2312" w:hAnsi="仿宋_GB2312" w:cs="仿宋_GB2312" w:hint="eastAsia"/>
          <w:kern w:val="0"/>
          <w:szCs w:val="32"/>
        </w:rPr>
        <w:t>场</w:t>
      </w:r>
      <w:r>
        <w:rPr>
          <w:rFonts w:ascii="仿宋_GB2312" w:hAnsi="仿宋_GB2312" w:cs="仿宋_GB2312"/>
          <w:kern w:val="0"/>
          <w:szCs w:val="32"/>
        </w:rPr>
        <w:t xml:space="preserve"> </w:t>
      </w:r>
      <w:r>
        <w:rPr>
          <w:rFonts w:ascii="仿宋_GB2312" w:hAnsi="仿宋_GB2312" w:cs="仿宋_GB2312" w:hint="eastAsia"/>
          <w:kern w:val="0"/>
          <w:szCs w:val="32"/>
        </w:rPr>
        <w:t>“夜游网红打卡”系列活动，增强对游客的吸引力，留住游客过夜，带动本地餐饮和住宿业发展。（责任单位：县工信商务局、文旅局、市场监管局、城管局，各乡镇人民政府）</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十三</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鼓励新型热点消费。</w:t>
      </w:r>
      <w:r>
        <w:rPr>
          <w:rFonts w:ascii="仿宋_GB2312" w:hAnsi="仿宋_GB2312" w:cs="仿宋_GB2312" w:hint="eastAsia"/>
          <w:kern w:val="0"/>
          <w:szCs w:val="32"/>
        </w:rPr>
        <w:t>联合汇京三力汽车贸易有限公司、克应汽车贸易服务有限公司和昆子汽车交易有限公司以及“汽车之家”、“瓜子二手车”等线上平台，围绕新车购买、二手车置换、自驾旅游等主题，开展汽车销售下乡和服务下乡系列活动，推进新能源汽车消费，力争举办</w:t>
      </w:r>
      <w:r>
        <w:rPr>
          <w:rFonts w:ascii="仿宋_GB2312" w:hAnsi="仿宋_GB2312" w:cs="仿宋_GB2312"/>
          <w:kern w:val="0"/>
          <w:szCs w:val="32"/>
        </w:rPr>
        <w:t xml:space="preserve"> </w:t>
      </w:r>
      <w:r>
        <w:rPr>
          <w:rFonts w:ascii="仿宋_GB2312" w:hAnsi="仿宋_GB2312" w:cs="仿宋_GB2312" w:hint="eastAsia"/>
          <w:kern w:val="0"/>
          <w:szCs w:val="32"/>
        </w:rPr>
        <w:t>“新能源汽车”、“汽车消费和服务下乡”等</w:t>
      </w:r>
      <w:r>
        <w:rPr>
          <w:rFonts w:ascii="仿宋_GB2312" w:hAnsi="仿宋_GB2312" w:cs="仿宋_GB2312"/>
          <w:kern w:val="0"/>
          <w:szCs w:val="32"/>
        </w:rPr>
        <w:t>2-3</w:t>
      </w:r>
      <w:r>
        <w:rPr>
          <w:rFonts w:ascii="仿宋_GB2312" w:hAnsi="仿宋_GB2312" w:cs="仿宋_GB2312" w:hint="eastAsia"/>
          <w:kern w:val="0"/>
          <w:szCs w:val="32"/>
        </w:rPr>
        <w:t>场汽车促销活动。</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县工信商务局、市场监管局，各乡镇人民政府</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十四</w:t>
      </w:r>
      <w:r w:rsidRPr="00B86DDD">
        <w:rPr>
          <w:rFonts w:ascii="楷体_GB2312" w:eastAsia="楷体_GB2312" w:hAnsi="楷体" w:cs="楷体"/>
          <w:kern w:val="0"/>
          <w:szCs w:val="32"/>
        </w:rPr>
        <w:t xml:space="preserve">) </w:t>
      </w:r>
      <w:r w:rsidRPr="00B86DDD">
        <w:rPr>
          <w:rFonts w:ascii="楷体_GB2312" w:eastAsia="楷体_GB2312" w:hAnsi="楷体" w:cs="楷体" w:hint="eastAsia"/>
          <w:kern w:val="0"/>
          <w:szCs w:val="32"/>
        </w:rPr>
        <w:t>积极培育新兴消费。</w:t>
      </w:r>
      <w:r>
        <w:rPr>
          <w:rFonts w:ascii="仿宋_GB2312" w:hAnsi="仿宋_GB2312" w:cs="仿宋_GB2312" w:hint="eastAsia"/>
          <w:kern w:val="0"/>
          <w:szCs w:val="32"/>
        </w:rPr>
        <w:t>发挥“憨鼠购”农产品供应链电商平台“基地生态种植</w:t>
      </w:r>
      <w:r>
        <w:rPr>
          <w:rFonts w:ascii="仿宋_GB2312" w:hAnsi="仿宋_GB2312" w:cs="仿宋_GB2312"/>
          <w:kern w:val="0"/>
          <w:szCs w:val="32"/>
        </w:rPr>
        <w:t>+</w:t>
      </w:r>
      <w:r>
        <w:rPr>
          <w:rFonts w:ascii="仿宋_GB2312" w:hAnsi="仿宋_GB2312" w:cs="仿宋_GB2312" w:hint="eastAsia"/>
          <w:kern w:val="0"/>
          <w:szCs w:val="32"/>
        </w:rPr>
        <w:t>平台运营推广</w:t>
      </w:r>
      <w:r>
        <w:rPr>
          <w:rFonts w:ascii="仿宋_GB2312" w:hAnsi="仿宋_GB2312" w:cs="仿宋_GB2312"/>
          <w:kern w:val="0"/>
          <w:szCs w:val="32"/>
        </w:rPr>
        <w:t>+</w:t>
      </w:r>
      <w:r>
        <w:rPr>
          <w:rFonts w:ascii="仿宋_GB2312" w:hAnsi="仿宋_GB2312" w:cs="仿宋_GB2312" w:hint="eastAsia"/>
          <w:kern w:val="0"/>
          <w:szCs w:val="32"/>
        </w:rPr>
        <w:t>社区</w:t>
      </w:r>
      <w:r>
        <w:rPr>
          <w:rFonts w:ascii="仿宋_GB2312" w:hAnsi="仿宋_GB2312" w:cs="仿宋_GB2312"/>
          <w:kern w:val="0"/>
          <w:szCs w:val="32"/>
        </w:rPr>
        <w:t>O2O</w:t>
      </w:r>
      <w:r>
        <w:rPr>
          <w:rFonts w:ascii="仿宋_GB2312" w:hAnsi="仿宋_GB2312" w:cs="仿宋_GB2312" w:hint="eastAsia"/>
          <w:kern w:val="0"/>
          <w:szCs w:val="32"/>
        </w:rPr>
        <w:t>仓储配送”营销模式，促进农特产品销售。大力发展线上经济，推动德化电子商务园、中国白陈仁海艺术馆等直播基地建设，积极开展直播带货活动，促进消费回补和潜力释放。组织开展各类线上商品展销活动，鼓励便利店连锁化规范化发展。（责任单位：县工信商务局、农业局、发改局，各乡镇人民政府）</w:t>
      </w:r>
      <w:bookmarkStart w:id="0" w:name="_GoBack"/>
      <w:bookmarkEnd w:id="0"/>
    </w:p>
    <w:p w:rsidR="003F55C5" w:rsidRDefault="003F55C5" w:rsidP="00B86DDD">
      <w:pPr>
        <w:spacing w:line="550" w:lineRule="exact"/>
        <w:ind w:firstLineChars="200" w:firstLine="632"/>
        <w:rPr>
          <w:rFonts w:ascii="仿宋_GB2312" w:cs="仿宋_GB2312"/>
          <w:kern w:val="0"/>
          <w:szCs w:val="32"/>
        </w:rPr>
      </w:pPr>
      <w:r w:rsidRPr="00B86DDD">
        <w:rPr>
          <w:rFonts w:ascii="楷体_GB2312" w:eastAsia="楷体_GB2312" w:hAnsi="楷体" w:cs="楷体" w:hint="eastAsia"/>
          <w:kern w:val="0"/>
          <w:szCs w:val="32"/>
        </w:rPr>
        <w:t>（十五）重振线下消费信心。</w:t>
      </w:r>
      <w:r>
        <w:rPr>
          <w:rFonts w:ascii="仿宋_GB2312" w:hAnsi="仿宋_GB2312" w:cs="仿宋_GB2312" w:hint="eastAsia"/>
          <w:kern w:val="0"/>
          <w:szCs w:val="32"/>
        </w:rPr>
        <w:t>落实国家、省、市促进消费提质扩容系列政策，用好上级财政促进消费专项资金，发放困难群体、工会会员等多种惠民消费券，加快线下消费市场复苏。加快推动各类商场、市场人气回升，全年计划举办</w:t>
      </w:r>
      <w:r>
        <w:rPr>
          <w:rFonts w:ascii="仿宋_GB2312" w:hAnsi="仿宋_GB2312" w:cs="仿宋_GB2312"/>
          <w:kern w:val="0"/>
          <w:szCs w:val="32"/>
        </w:rPr>
        <w:t>2-3</w:t>
      </w:r>
      <w:r>
        <w:rPr>
          <w:rFonts w:ascii="仿宋_GB2312" w:hAnsi="仿宋_GB2312" w:cs="仿宋_GB2312" w:hint="eastAsia"/>
          <w:kern w:val="0"/>
          <w:szCs w:val="32"/>
        </w:rPr>
        <w:t>场购物节、美食节、陶瓷文化节、邮政客户年货节等大型综合商业促销活动，努力促进消费增长。制定出台《德化县支持全域旅游发展实施意见》，在常态化疫情防控措施中，鼓励景区景点、酒店推出组合优惠措施，引导旅行社加大组接团力度。（责任单位：县工信商务局、文旅局、邮政局、总工会，各乡镇人民政府）</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十六</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打造便民生活服务圈。</w:t>
      </w:r>
      <w:r>
        <w:rPr>
          <w:rFonts w:ascii="仿宋_GB2312" w:hAnsi="仿宋_GB2312" w:cs="仿宋_GB2312" w:hint="eastAsia"/>
          <w:kern w:val="0"/>
          <w:szCs w:val="32"/>
        </w:rPr>
        <w:t>积极引导便利店连锁化规范化发展，进一步激活消费潜能。鼓励中小便利店、大众餐饮以直营、特许加盟等连锁形式拓展市场，探索推进信息化系统升级改造，力争建立高效配送体系，并对符合条件的企业给予支持帮助。鼓励便利店开展</w:t>
      </w:r>
      <w:r>
        <w:rPr>
          <w:rFonts w:ascii="仿宋_GB2312" w:hAnsi="仿宋_GB2312" w:cs="仿宋_GB2312"/>
          <w:kern w:val="0"/>
          <w:szCs w:val="32"/>
        </w:rPr>
        <w:t>24</w:t>
      </w:r>
      <w:r>
        <w:rPr>
          <w:rFonts w:ascii="仿宋_GB2312" w:hAnsi="仿宋_GB2312" w:cs="仿宋_GB2312" w:hint="eastAsia"/>
          <w:kern w:val="0"/>
          <w:szCs w:val="32"/>
        </w:rPr>
        <w:t>小时营业，搭载简食制售、乙类非处方药等便民服务，打造“一刻钟便民生活服务圈”。支持东南药店、惠好药店和利民药店等有实力的药品零售企业在社区、车站、商场等地设置便民药柜或自动售药机，销售乙类非处方药，努力满足群众购药需求。</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县工信商务局、市场监管局、财政局，各乡镇人民政府</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十七</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推动消费载体升级改造。</w:t>
      </w:r>
      <w:r>
        <w:rPr>
          <w:rFonts w:ascii="仿宋_GB2312" w:hAnsi="仿宋_GB2312" w:cs="仿宋_GB2312" w:hint="eastAsia"/>
          <w:kern w:val="0"/>
          <w:szCs w:val="32"/>
        </w:rPr>
        <w:t>推进商圈（步行街）发展，增强综合服务功能</w:t>
      </w:r>
      <w:r>
        <w:rPr>
          <w:rFonts w:ascii="仿宋_GB2312" w:hAnsi="仿宋_GB2312" w:cs="仿宋_GB2312"/>
          <w:kern w:val="0"/>
          <w:szCs w:val="32"/>
        </w:rPr>
        <w:t xml:space="preserve">, </w:t>
      </w:r>
      <w:r>
        <w:rPr>
          <w:rFonts w:ascii="仿宋_GB2312" w:hAnsi="仿宋_GB2312" w:cs="仿宋_GB2312" w:hint="eastAsia"/>
          <w:kern w:val="0"/>
          <w:szCs w:val="32"/>
        </w:rPr>
        <w:t>全力跟踪抓好万达广场、瓷艺城、海丝广场、金龙中心城等商圈（步行街）的建设服务，力争年底前投入运营</w:t>
      </w:r>
      <w:r>
        <w:rPr>
          <w:rFonts w:ascii="仿宋_GB2312" w:hAnsi="仿宋_GB2312" w:cs="仿宋_GB2312"/>
          <w:kern w:val="0"/>
          <w:szCs w:val="32"/>
        </w:rPr>
        <w:t>1-2</w:t>
      </w:r>
      <w:r>
        <w:rPr>
          <w:rFonts w:ascii="仿宋_GB2312" w:hAnsi="仿宋_GB2312" w:cs="仿宋_GB2312" w:hint="eastAsia"/>
          <w:kern w:val="0"/>
          <w:szCs w:val="32"/>
        </w:rPr>
        <w:t>个商圈（步行街）新建改扩建示范项目。加快优化消费环境，完善商品交易设施，抓好城南、百德、水口等</w:t>
      </w:r>
      <w:r>
        <w:rPr>
          <w:rFonts w:ascii="仿宋_GB2312" w:hAnsi="仿宋_GB2312" w:cs="仿宋_GB2312"/>
          <w:kern w:val="0"/>
          <w:szCs w:val="32"/>
        </w:rPr>
        <w:t>3</w:t>
      </w:r>
      <w:r>
        <w:rPr>
          <w:rFonts w:ascii="仿宋_GB2312" w:hAnsi="仿宋_GB2312" w:cs="仿宋_GB2312" w:hint="eastAsia"/>
          <w:kern w:val="0"/>
          <w:szCs w:val="32"/>
        </w:rPr>
        <w:t>个农贸市场建设，实施</w:t>
      </w:r>
      <w:r>
        <w:rPr>
          <w:rFonts w:ascii="仿宋_GB2312" w:hAnsi="仿宋_GB2312" w:cs="仿宋_GB2312"/>
          <w:kern w:val="0"/>
          <w:szCs w:val="32"/>
        </w:rPr>
        <w:t>2-3</w:t>
      </w:r>
      <w:r>
        <w:rPr>
          <w:rFonts w:ascii="仿宋_GB2312" w:hAnsi="仿宋_GB2312" w:cs="仿宋_GB2312" w:hint="eastAsia"/>
          <w:kern w:val="0"/>
          <w:szCs w:val="32"/>
        </w:rPr>
        <w:t>个农贸市场改造提升工程，推进商品交易市场提升。</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w:t>
      </w:r>
      <w:r>
        <w:rPr>
          <w:rFonts w:ascii="仿宋_GB2312" w:hAnsi="仿宋_GB2312" w:cs="仿宋_GB2312" w:hint="eastAsia"/>
          <w:color w:val="0000FF"/>
          <w:kern w:val="0"/>
          <w:szCs w:val="32"/>
        </w:rPr>
        <w:t>，</w:t>
      </w:r>
      <w:r>
        <w:rPr>
          <w:rFonts w:ascii="仿宋_GB2312" w:hAnsi="仿宋_GB2312" w:cs="仿宋_GB2312" w:hint="eastAsia"/>
          <w:kern w:val="0"/>
          <w:szCs w:val="32"/>
        </w:rPr>
        <w:t>各乡镇人民政府</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十八</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支持企业拓展线上业务。</w:t>
      </w:r>
      <w:r>
        <w:rPr>
          <w:rFonts w:ascii="仿宋_GB2312" w:hAnsi="仿宋_GB2312" w:cs="仿宋_GB2312" w:hint="eastAsia"/>
          <w:kern w:val="0"/>
          <w:szCs w:val="32"/>
        </w:rPr>
        <w:t>大力发展线上经济，积极拓展“云消费”新场景，启动实体商店消费，保持线上消费热度不减，促进消费回补和潜力释放。鼓励批发零售住宿餐饮企业通过线上预约、线下分装、配送上门、定点领取等方式实行“闭店”经营，减少损失。组织开展各类线上商品展销活动，鼓励便利店连锁化规范化发展。</w:t>
      </w:r>
      <w:r>
        <w:rPr>
          <w:rFonts w:ascii="仿宋_GB2312" w:hAnsi="仿宋_GB2312" w:cs="仿宋_GB2312"/>
          <w:kern w:val="0"/>
          <w:szCs w:val="32"/>
        </w:rPr>
        <w:t xml:space="preserve"> (</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县工信商务局、财政局，各乡镇人民政府</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十九</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究善冷链物流体系建设。</w:t>
      </w:r>
      <w:r>
        <w:rPr>
          <w:rFonts w:ascii="仿宋_GB2312" w:hAnsi="仿宋_GB2312" w:cs="仿宋_GB2312" w:hint="eastAsia"/>
          <w:kern w:val="0"/>
          <w:szCs w:val="32"/>
        </w:rPr>
        <w:t>支持企业发展冷链设施建设，加快推进冷链物流基地建设步伐。支持德化县乐农农业有限公司等农产品冷藏企业扩大规模改造冷库设施，支持农产品交易市场建设低温物流专区，完善市场冷藏设施、冷链运输、信息管理系统等。鼓励零售企业建设终端低温设施，对符合条件的冷链物流设施建设项目，帮助企业积极向上争取项目补助资金和降低冷链物流企业电费补助。</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县工信商务局、财政局、市场监管局，国网泉州供电公司德化分公司，各乡镇人民政府</w:t>
      </w:r>
      <w:r>
        <w:rPr>
          <w:rFonts w:ascii="仿宋_GB2312" w:hAnsi="仿宋_GB2312" w:cs="仿宋_GB2312"/>
          <w:kern w:val="0"/>
          <w:szCs w:val="32"/>
        </w:rPr>
        <w:t>)</w:t>
      </w:r>
    </w:p>
    <w:p w:rsidR="003F55C5" w:rsidRDefault="003F55C5" w:rsidP="00B86DDD">
      <w:pPr>
        <w:spacing w:line="550" w:lineRule="exact"/>
        <w:ind w:firstLineChars="200" w:firstLine="632"/>
        <w:rPr>
          <w:rFonts w:ascii="黑体" w:eastAsia="黑体" w:hAnsi="黑体" w:cs="黑体"/>
          <w:kern w:val="0"/>
          <w:szCs w:val="32"/>
        </w:rPr>
      </w:pPr>
      <w:r>
        <w:rPr>
          <w:rFonts w:ascii="黑体" w:eastAsia="黑体" w:hAnsi="黑体" w:cs="黑体" w:hint="eastAsia"/>
          <w:kern w:val="0"/>
          <w:szCs w:val="32"/>
        </w:rPr>
        <w:t>四、打造高质量发展载体平台</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二十</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加快推进工业园区开发建设。</w:t>
      </w:r>
      <w:r>
        <w:rPr>
          <w:rFonts w:ascii="仿宋_GB2312" w:hAnsi="仿宋_GB2312" w:cs="仿宋_GB2312" w:hint="eastAsia"/>
          <w:kern w:val="0"/>
          <w:szCs w:val="32"/>
        </w:rPr>
        <w:t>统筹布局、统一规划、集中管理，发挥开发区集聚规模效应，做大做强开发区。全力推进城东四期古洋片区、紫洋片区、城东三期、城东四期中小企业创业园四个片区建设，力争</w:t>
      </w:r>
      <w:r>
        <w:rPr>
          <w:rFonts w:ascii="仿宋_GB2312" w:hAnsi="仿宋_GB2312" w:cs="仿宋_GB2312"/>
          <w:kern w:val="0"/>
          <w:szCs w:val="32"/>
        </w:rPr>
        <w:t>2020</w:t>
      </w:r>
      <w:r>
        <w:rPr>
          <w:rFonts w:ascii="仿宋_GB2312" w:hAnsi="仿宋_GB2312" w:cs="仿宋_GB2312" w:hint="eastAsia"/>
          <w:kern w:val="0"/>
          <w:szCs w:val="32"/>
        </w:rPr>
        <w:t>年完成投资</w:t>
      </w:r>
      <w:r>
        <w:rPr>
          <w:rFonts w:ascii="仿宋_GB2312" w:hAnsi="仿宋_GB2312" w:cs="仿宋_GB2312"/>
          <w:kern w:val="0"/>
          <w:szCs w:val="32"/>
        </w:rPr>
        <w:t>1.65</w:t>
      </w:r>
      <w:r>
        <w:rPr>
          <w:rFonts w:ascii="仿宋_GB2312" w:hAnsi="仿宋_GB2312" w:cs="仿宋_GB2312" w:hint="eastAsia"/>
          <w:kern w:val="0"/>
          <w:szCs w:val="32"/>
        </w:rPr>
        <w:t>亿元，提供工业用地</w:t>
      </w:r>
      <w:r>
        <w:rPr>
          <w:rFonts w:ascii="仿宋_GB2312" w:hAnsi="仿宋_GB2312" w:cs="仿宋_GB2312"/>
          <w:kern w:val="0"/>
          <w:szCs w:val="32"/>
        </w:rPr>
        <w:t>900</w:t>
      </w:r>
      <w:r>
        <w:rPr>
          <w:rFonts w:ascii="仿宋_GB2312" w:hAnsi="仿宋_GB2312" w:cs="仿宋_GB2312" w:hint="eastAsia"/>
          <w:kern w:val="0"/>
          <w:szCs w:val="32"/>
        </w:rPr>
        <w:t>亩以上。</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陶瓷管委会、县工信商务局、发改局、自然资源局</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二十一</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支持企业“走出去”。</w:t>
      </w:r>
      <w:r>
        <w:rPr>
          <w:rFonts w:ascii="仿宋_GB2312" w:hAnsi="仿宋_GB2312" w:cs="仿宋_GB2312" w:hint="eastAsia"/>
          <w:kern w:val="0"/>
          <w:szCs w:val="32"/>
        </w:rPr>
        <w:t>支持企业自主或抱团赴境外创办公司或设立办事处，鼓励企业管理人员出国（境）考察。</w:t>
      </w:r>
      <w:r>
        <w:rPr>
          <w:rFonts w:ascii="仿宋_GB2312" w:hAnsi="仿宋_GB2312" w:cs="仿宋_GB2312"/>
          <w:kern w:val="0"/>
          <w:szCs w:val="32"/>
        </w:rPr>
        <w:t>(</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县工信商务局、财政局</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二十二</w:t>
      </w:r>
      <w:r w:rsidRPr="00B86DDD">
        <w:rPr>
          <w:rFonts w:ascii="楷体_GB2312" w:eastAsia="楷体_GB2312" w:hAnsi="楷体" w:cs="楷体"/>
          <w:kern w:val="0"/>
          <w:szCs w:val="32"/>
        </w:rPr>
        <w:t>)</w:t>
      </w:r>
      <w:r w:rsidRPr="00B86DDD">
        <w:rPr>
          <w:rFonts w:ascii="楷体_GB2312" w:eastAsia="楷体_GB2312" w:hAnsi="楷体" w:cs="楷体" w:hint="eastAsia"/>
          <w:kern w:val="0"/>
          <w:szCs w:val="32"/>
        </w:rPr>
        <w:t>着力打造线上平台。</w:t>
      </w:r>
      <w:r>
        <w:rPr>
          <w:rFonts w:ascii="仿宋_GB2312" w:hAnsi="仿宋_GB2312" w:cs="仿宋_GB2312" w:hint="eastAsia"/>
          <w:kern w:val="0"/>
          <w:szCs w:val="32"/>
        </w:rPr>
        <w:t>推动“互联网</w:t>
      </w:r>
      <w:r>
        <w:rPr>
          <w:rFonts w:ascii="仿宋_GB2312" w:hAnsi="仿宋_GB2312" w:cs="仿宋_GB2312"/>
          <w:kern w:val="0"/>
          <w:szCs w:val="32"/>
        </w:rPr>
        <w:t>+</w:t>
      </w:r>
      <w:r>
        <w:rPr>
          <w:rFonts w:ascii="仿宋_GB2312" w:hAnsi="仿宋_GB2312" w:cs="仿宋_GB2312" w:hint="eastAsia"/>
          <w:kern w:val="0"/>
          <w:szCs w:val="32"/>
        </w:rPr>
        <w:t>陶瓷”试点平台加快围绕产业公共服务、互联网营销、区块链</w:t>
      </w:r>
      <w:r>
        <w:rPr>
          <w:rFonts w:ascii="仿宋_GB2312" w:hAnsi="仿宋_GB2312" w:cs="仿宋_GB2312"/>
          <w:kern w:val="0"/>
          <w:szCs w:val="32"/>
        </w:rPr>
        <w:t>+</w:t>
      </w:r>
      <w:r>
        <w:rPr>
          <w:rFonts w:ascii="仿宋_GB2312" w:hAnsi="仿宋_GB2312" w:cs="仿宋_GB2312" w:hint="eastAsia"/>
          <w:kern w:val="0"/>
          <w:szCs w:val="32"/>
        </w:rPr>
        <w:t>陶瓷应用系统等重点任务建设，支持推进建设天猫服务中心德化陶瓷工作站、德化陶瓷直播基地，促进线上线下融合新零售模式。</w:t>
      </w:r>
      <w:r>
        <w:rPr>
          <w:rFonts w:ascii="仿宋_GB2312" w:hAnsi="仿宋_GB2312" w:cs="仿宋_GB2312" w:hint="eastAsia"/>
          <w:szCs w:val="32"/>
        </w:rPr>
        <w:t>对推动“生产基地</w:t>
      </w:r>
      <w:r>
        <w:rPr>
          <w:rFonts w:ascii="仿宋_GB2312" w:hAnsi="仿宋_GB2312" w:cs="仿宋_GB2312"/>
          <w:szCs w:val="32"/>
        </w:rPr>
        <w:t>+</w:t>
      </w:r>
      <w:r>
        <w:rPr>
          <w:rFonts w:ascii="仿宋_GB2312" w:hAnsi="仿宋_GB2312" w:cs="仿宋_GB2312" w:hint="eastAsia"/>
          <w:szCs w:val="32"/>
        </w:rPr>
        <w:t>电商”生态圈发展，促进我县传统优势产业紧密结合、产业转型升级推动作用明显的行业垂直电商平台，对年度地方经济贡献额较大的电商垂直平台给予适当奖励，并在其入驻德化电商物流园的租金补贴次年年初给予兑现。如果平台未入驻德化电商物流园，不予兑现。对在我县投资建设的行业垂直电商平台，优先推荐申报各级各类项目，并对网上销售额首次超过</w:t>
      </w:r>
      <w:r>
        <w:rPr>
          <w:rFonts w:ascii="仿宋_GB2312" w:hAnsi="仿宋_GB2312" w:cs="仿宋_GB2312"/>
          <w:szCs w:val="32"/>
        </w:rPr>
        <w:t>2000</w:t>
      </w:r>
      <w:r>
        <w:rPr>
          <w:rFonts w:ascii="仿宋_GB2312" w:hAnsi="仿宋_GB2312" w:cs="仿宋_GB2312" w:hint="eastAsia"/>
          <w:szCs w:val="32"/>
        </w:rPr>
        <w:t>万元、</w:t>
      </w:r>
      <w:r>
        <w:rPr>
          <w:rFonts w:ascii="仿宋_GB2312" w:hAnsi="仿宋_GB2312" w:cs="仿宋_GB2312"/>
          <w:szCs w:val="32"/>
        </w:rPr>
        <w:t>1</w:t>
      </w:r>
      <w:r>
        <w:rPr>
          <w:rFonts w:ascii="仿宋_GB2312" w:hAnsi="仿宋_GB2312" w:cs="仿宋_GB2312" w:hint="eastAsia"/>
          <w:szCs w:val="32"/>
        </w:rPr>
        <w:t>亿元、</w:t>
      </w:r>
      <w:r>
        <w:rPr>
          <w:rFonts w:ascii="仿宋_GB2312" w:hAnsi="仿宋_GB2312" w:cs="仿宋_GB2312"/>
          <w:szCs w:val="32"/>
        </w:rPr>
        <w:t>2</w:t>
      </w:r>
      <w:r>
        <w:rPr>
          <w:rFonts w:ascii="仿宋_GB2312" w:hAnsi="仿宋_GB2312" w:cs="仿宋_GB2312" w:hint="eastAsia"/>
          <w:szCs w:val="32"/>
        </w:rPr>
        <w:t>亿元的，分别给予一次性奖励</w:t>
      </w:r>
      <w:r>
        <w:rPr>
          <w:rFonts w:ascii="仿宋_GB2312" w:hAnsi="仿宋_GB2312" w:cs="仿宋_GB2312"/>
          <w:szCs w:val="32"/>
        </w:rPr>
        <w:t>1</w:t>
      </w:r>
      <w:r>
        <w:rPr>
          <w:rFonts w:ascii="仿宋_GB2312" w:hAnsi="仿宋_GB2312" w:cs="仿宋_GB2312" w:hint="eastAsia"/>
          <w:szCs w:val="32"/>
        </w:rPr>
        <w:t>万元、</w:t>
      </w:r>
      <w:r>
        <w:rPr>
          <w:rFonts w:ascii="仿宋_GB2312" w:hAnsi="仿宋_GB2312" w:cs="仿宋_GB2312"/>
          <w:szCs w:val="32"/>
        </w:rPr>
        <w:t>2</w:t>
      </w:r>
      <w:r>
        <w:rPr>
          <w:rFonts w:ascii="仿宋_GB2312" w:hAnsi="仿宋_GB2312" w:cs="仿宋_GB2312" w:hint="eastAsia"/>
          <w:szCs w:val="32"/>
        </w:rPr>
        <w:t>万元、</w:t>
      </w:r>
      <w:r>
        <w:rPr>
          <w:rFonts w:ascii="仿宋_GB2312" w:hAnsi="仿宋_GB2312" w:cs="仿宋_GB2312"/>
          <w:szCs w:val="32"/>
        </w:rPr>
        <w:t>3</w:t>
      </w:r>
      <w:r>
        <w:rPr>
          <w:rFonts w:ascii="仿宋_GB2312" w:hAnsi="仿宋_GB2312" w:cs="仿宋_GB2312" w:hint="eastAsia"/>
          <w:szCs w:val="32"/>
        </w:rPr>
        <w:t>万元。</w:t>
      </w:r>
      <w:r>
        <w:rPr>
          <w:rFonts w:ascii="仿宋_GB2312" w:hAnsi="仿宋_GB2312" w:cs="仿宋_GB2312"/>
          <w:kern w:val="0"/>
          <w:szCs w:val="32"/>
        </w:rPr>
        <w:t xml:space="preserve"> (</w:t>
      </w:r>
      <w:r>
        <w:rPr>
          <w:rFonts w:ascii="仿宋_GB2312" w:hAnsi="仿宋_GB2312" w:cs="仿宋_GB2312" w:hint="eastAsia"/>
          <w:kern w:val="0"/>
          <w:szCs w:val="32"/>
        </w:rPr>
        <w:t>责任单位</w:t>
      </w:r>
      <w:r>
        <w:rPr>
          <w:rFonts w:ascii="仿宋_GB2312" w:hAnsi="仿宋_GB2312" w:cs="仿宋_GB2312"/>
          <w:kern w:val="0"/>
          <w:szCs w:val="32"/>
        </w:rPr>
        <w:t>:</w:t>
      </w:r>
      <w:r>
        <w:rPr>
          <w:rFonts w:ascii="仿宋_GB2312" w:hAnsi="仿宋_GB2312" w:cs="仿宋_GB2312" w:hint="eastAsia"/>
          <w:kern w:val="0"/>
          <w:szCs w:val="32"/>
        </w:rPr>
        <w:t>县工信商务局、发改局、财政局</w:t>
      </w:r>
      <w:r>
        <w:rPr>
          <w:rFonts w:ascii="仿宋_GB2312" w:hAnsi="仿宋_GB2312" w:cs="仿宋_GB2312"/>
          <w:kern w:val="0"/>
          <w:szCs w:val="32"/>
        </w:rPr>
        <w:t>)</w:t>
      </w:r>
    </w:p>
    <w:p w:rsidR="003F55C5" w:rsidRDefault="003F55C5" w:rsidP="00B86DDD">
      <w:pPr>
        <w:spacing w:line="550" w:lineRule="exact"/>
        <w:ind w:firstLineChars="200" w:firstLine="632"/>
        <w:rPr>
          <w:rFonts w:ascii="仿宋_GB2312" w:hAnsi="仿宋_GB2312" w:cs="仿宋_GB2312"/>
          <w:kern w:val="0"/>
          <w:szCs w:val="32"/>
        </w:rPr>
      </w:pPr>
      <w:r>
        <w:rPr>
          <w:rFonts w:ascii="仿宋_GB2312" w:hAnsi="仿宋_GB2312" w:cs="仿宋_GB2312" w:hint="eastAsia"/>
          <w:kern w:val="0"/>
          <w:szCs w:val="32"/>
        </w:rPr>
        <w:t>本文措施所涉及的资金奖补政策适用年限为</w:t>
      </w:r>
      <w:r>
        <w:rPr>
          <w:rFonts w:ascii="仿宋_GB2312" w:hAnsi="仿宋_GB2312" w:cs="仿宋_GB2312"/>
          <w:kern w:val="0"/>
          <w:szCs w:val="32"/>
        </w:rPr>
        <w:t>2020</w:t>
      </w:r>
      <w:r>
        <w:rPr>
          <w:rFonts w:ascii="仿宋_GB2312" w:hAnsi="仿宋_GB2312" w:cs="仿宋_GB2312" w:hint="eastAsia"/>
          <w:kern w:val="0"/>
          <w:szCs w:val="32"/>
        </w:rPr>
        <w:t>年。执行中若遇到特殊情况需调整的，按调整后的政策措施执行。实施过程中遇到的相关问题，由牵头单位会同相关单位负责解释。</w:t>
      </w:r>
      <w:r>
        <w:rPr>
          <w:rFonts w:ascii="仿宋_GB2312" w:hAnsi="仿宋_GB2312" w:cs="仿宋_GB2312"/>
          <w:kern w:val="0"/>
          <w:szCs w:val="32"/>
        </w:rPr>
        <w:t xml:space="preserve"> </w:t>
      </w:r>
    </w:p>
    <w:p w:rsidR="003F55C5" w:rsidRDefault="003F55C5" w:rsidP="00B86DDD">
      <w:pPr>
        <w:spacing w:line="550" w:lineRule="exact"/>
        <w:ind w:firstLineChars="200" w:firstLine="632"/>
        <w:rPr>
          <w:rFonts w:ascii="仿宋_GB2312" w:cs="仿宋_GB2312"/>
          <w:kern w:val="0"/>
          <w:szCs w:val="32"/>
        </w:rPr>
      </w:pPr>
      <w:r>
        <w:rPr>
          <w:rFonts w:ascii="仿宋_GB2312" w:hAnsi="仿宋_GB2312" w:cs="仿宋_GB2312" w:hint="eastAsia"/>
          <w:kern w:val="0"/>
          <w:szCs w:val="32"/>
        </w:rPr>
        <w:t>同一年度同一企业同一项目符合全县各扶持政策的多项扶持政策奖励条款或性质相似条款的，取最高奖项（标准）给予奖励，不予重复享受；同一奖励条款，往年已经取得低等级奖励，级别提升的，按差额进行奖励；单家企业年度累计奖励金额不超过其年度纳税额。</w:t>
      </w:r>
    </w:p>
    <w:p w:rsidR="003F55C5" w:rsidRDefault="003F55C5" w:rsidP="00B86DDD">
      <w:pPr>
        <w:spacing w:line="550" w:lineRule="exact"/>
        <w:ind w:firstLineChars="200" w:firstLine="632"/>
        <w:rPr>
          <w:rFonts w:ascii="仿宋_GB2312" w:cs="仿宋_GB2312"/>
          <w:color w:val="000000"/>
          <w:szCs w:val="32"/>
        </w:rPr>
      </w:pPr>
      <w:r>
        <w:rPr>
          <w:rFonts w:ascii="仿宋_GB2312" w:hAnsi="仿宋_GB2312" w:cs="仿宋_GB2312" w:hint="eastAsia"/>
          <w:kern w:val="0"/>
          <w:szCs w:val="32"/>
        </w:rPr>
        <w:t>企业及其法定代表人若被列为失信被执行人、涉黑涉恶的，一律取消申报资格。对企业、单位或个人在申请政策资金过程中，有弄虚作假骗取、套取政策资金等违法违纪行为的，政策主管部门、财政部门有权依法依规取消其享受政策资金资格，追回骗取、套取的政策资金，并限制其五年内不得申请政策资金。同时，有关部门可依照《财政违法行为处罚处分条例》（国务院第</w:t>
      </w:r>
      <w:r>
        <w:rPr>
          <w:rFonts w:ascii="仿宋_GB2312" w:hAnsi="仿宋_GB2312" w:cs="仿宋_GB2312"/>
          <w:kern w:val="0"/>
          <w:szCs w:val="32"/>
        </w:rPr>
        <w:t>427</w:t>
      </w:r>
      <w:r>
        <w:rPr>
          <w:rFonts w:ascii="仿宋_GB2312" w:hAnsi="仿宋_GB2312" w:cs="仿宋_GB2312" w:hint="eastAsia"/>
          <w:kern w:val="0"/>
          <w:szCs w:val="32"/>
        </w:rPr>
        <w:t>号令）的规定对当事企业、单位或个人予以处罚，并依法追究当事人和直接责任人责任；构成犯罪的，移交司法部门依法追究刑事责任。</w:t>
      </w:r>
    </w:p>
    <w:p w:rsidR="003F55C5" w:rsidRDefault="003F55C5" w:rsidP="00B86DDD">
      <w:pPr>
        <w:spacing w:line="550" w:lineRule="exact"/>
        <w:ind w:firstLineChars="200" w:firstLine="632"/>
        <w:rPr>
          <w:rFonts w:ascii="仿宋_GB2312" w:cs="仿宋_GB2312"/>
          <w:szCs w:val="32"/>
        </w:rPr>
      </w:pPr>
    </w:p>
    <w:p w:rsidR="003F55C5" w:rsidRDefault="003F55C5" w:rsidP="00B86DDD">
      <w:pPr>
        <w:spacing w:line="550" w:lineRule="exact"/>
        <w:ind w:firstLineChars="200" w:firstLine="632"/>
        <w:rPr>
          <w:rFonts w:ascii="仿宋_GB2312" w:cs="仿宋_GB2312"/>
          <w:szCs w:val="32"/>
        </w:rPr>
      </w:pPr>
    </w:p>
    <w:p w:rsidR="003F55C5" w:rsidRDefault="003F55C5" w:rsidP="00B86DDD">
      <w:pPr>
        <w:spacing w:line="550" w:lineRule="exact"/>
        <w:ind w:firstLineChars="200" w:firstLine="632"/>
        <w:rPr>
          <w:rFonts w:ascii="仿宋_GB2312" w:cs="仿宋_GB2312"/>
          <w:szCs w:val="32"/>
        </w:rPr>
      </w:pPr>
    </w:p>
    <w:p w:rsidR="003F55C5" w:rsidRDefault="003F55C5" w:rsidP="00B86DDD">
      <w:pPr>
        <w:spacing w:line="550" w:lineRule="exact"/>
        <w:ind w:rightChars="398" w:right="1257" w:firstLineChars="200" w:firstLine="632"/>
        <w:jc w:val="right"/>
        <w:rPr>
          <w:rFonts w:ascii="仿宋_GB2312" w:cs="仿宋_GB2312"/>
          <w:szCs w:val="32"/>
        </w:rPr>
      </w:pPr>
      <w:r>
        <w:rPr>
          <w:rFonts w:ascii="仿宋_GB2312" w:hAnsi="仿宋_GB2312" w:cs="仿宋_GB2312"/>
          <w:szCs w:val="32"/>
        </w:rPr>
        <w:t xml:space="preserve">  </w:t>
      </w:r>
      <w:r>
        <w:rPr>
          <w:rFonts w:ascii="仿宋_GB2312" w:hAnsi="仿宋_GB2312" w:cs="仿宋_GB2312" w:hint="eastAsia"/>
          <w:szCs w:val="32"/>
        </w:rPr>
        <w:t>德化县人民政府办公室</w:t>
      </w:r>
    </w:p>
    <w:p w:rsidR="003F55C5" w:rsidRDefault="003F55C5" w:rsidP="00B86DDD">
      <w:pPr>
        <w:spacing w:line="550" w:lineRule="exact"/>
        <w:ind w:firstLineChars="1477" w:firstLine="4665"/>
        <w:rPr>
          <w:rFonts w:ascii="仿宋_GB2312" w:cs="仿宋_GB2312"/>
          <w:szCs w:val="32"/>
        </w:rPr>
      </w:pPr>
      <w:smartTag w:uri="urn:schemas-microsoft-com:office:smarttags" w:element="chsdate">
        <w:smartTagPr>
          <w:attr w:name="Year" w:val="2020"/>
          <w:attr w:name="Month" w:val="6"/>
          <w:attr w:name="Day" w:val="29"/>
          <w:attr w:name="IsLunarDate" w:val="False"/>
          <w:attr w:name="IsROCDate" w:val="False"/>
        </w:smartTagPr>
        <w:r>
          <w:rPr>
            <w:rFonts w:ascii="仿宋_GB2312" w:hAnsi="仿宋_GB2312" w:cs="仿宋_GB2312"/>
            <w:szCs w:val="32"/>
          </w:rPr>
          <w:t>2020</w:t>
        </w:r>
        <w:r>
          <w:rPr>
            <w:rFonts w:ascii="仿宋_GB2312" w:hAnsi="仿宋_GB2312" w:cs="仿宋_GB2312" w:hint="eastAsia"/>
            <w:szCs w:val="32"/>
          </w:rPr>
          <w:t>年</w:t>
        </w:r>
        <w:r>
          <w:rPr>
            <w:rFonts w:ascii="仿宋_GB2312" w:hAnsi="仿宋_GB2312" w:cs="仿宋_GB2312"/>
            <w:szCs w:val="32"/>
          </w:rPr>
          <w:t>6</w:t>
        </w:r>
        <w:r>
          <w:rPr>
            <w:rFonts w:ascii="仿宋_GB2312" w:hAnsi="仿宋_GB2312" w:cs="仿宋_GB2312" w:hint="eastAsia"/>
            <w:szCs w:val="32"/>
          </w:rPr>
          <w:t>月</w:t>
        </w:r>
        <w:r>
          <w:rPr>
            <w:rFonts w:ascii="仿宋_GB2312" w:hAnsi="仿宋_GB2312" w:cs="仿宋_GB2312"/>
            <w:szCs w:val="32"/>
          </w:rPr>
          <w:t>29</w:t>
        </w:r>
        <w:r>
          <w:rPr>
            <w:rFonts w:ascii="仿宋_GB2312" w:hAnsi="仿宋_GB2312" w:cs="仿宋_GB2312" w:hint="eastAsia"/>
            <w:szCs w:val="32"/>
          </w:rPr>
          <w:t>日</w:t>
        </w:r>
      </w:smartTag>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r>
        <w:rPr>
          <w:noProof/>
        </w:rPr>
        <w:pict>
          <v:rect id="_x0000_s1026" style="position:absolute;left:0;text-align:left;margin-left:-19.55pt;margin-top:195.65pt;width:197.5pt;height:115.8pt;z-index:251658752" stroked="f"/>
        </w:pict>
      </w: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r>
        <w:rPr>
          <w:noProof/>
        </w:rPr>
        <w:pict>
          <v:rect id="_x0000_s1027" style="position:absolute;left:0;text-align:left;margin-left:312.25pt;margin-top:79.85pt;width:126.4pt;height:115.8pt;z-index:251657728" stroked="f"/>
        </w:pict>
      </w: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p w:rsidR="003F55C5" w:rsidRDefault="003F55C5" w:rsidP="00B86DDD">
      <w:pPr>
        <w:spacing w:line="550" w:lineRule="exact"/>
        <w:ind w:firstLineChars="1477" w:firstLine="4665"/>
        <w:rPr>
          <w:rFonts w:ascii="仿宋_GB2312"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3F55C5" w:rsidTr="008909F9">
        <w:tc>
          <w:tcPr>
            <w:tcW w:w="9060" w:type="dxa"/>
            <w:tcBorders>
              <w:left w:val="nil"/>
              <w:right w:val="nil"/>
            </w:tcBorders>
          </w:tcPr>
          <w:p w:rsidR="003F55C5" w:rsidRPr="008909F9" w:rsidRDefault="003F55C5" w:rsidP="008909F9">
            <w:pPr>
              <w:ind w:leftChars="87" w:left="1103" w:rightChars="48" w:right="152" w:hangingChars="300" w:hanging="828"/>
              <w:rPr>
                <w:rFonts w:ascii="仿宋_GB2312" w:cs="仿宋_GB2312"/>
                <w:kern w:val="0"/>
                <w:sz w:val="28"/>
                <w:szCs w:val="28"/>
              </w:rPr>
            </w:pPr>
            <w:r w:rsidRPr="008909F9">
              <w:rPr>
                <w:rFonts w:ascii="仿宋_GB2312" w:hAnsi="仿宋_GB2312" w:cs="仿宋_GB2312" w:hint="eastAsia"/>
                <w:sz w:val="28"/>
                <w:szCs w:val="28"/>
              </w:rPr>
              <w:t>县直有关单位</w:t>
            </w:r>
            <w:r w:rsidRPr="008909F9">
              <w:rPr>
                <w:rFonts w:ascii="仿宋_GB2312" w:cs="仿宋_GB2312" w:hint="eastAsia"/>
                <w:color w:val="000000"/>
                <w:sz w:val="28"/>
                <w:szCs w:val="28"/>
              </w:rPr>
              <w:t>：</w:t>
            </w:r>
            <w:r w:rsidRPr="008909F9">
              <w:rPr>
                <w:rFonts w:ascii="仿宋_GB2312" w:hAnsi="仿宋_GB2312" w:cs="仿宋_GB2312" w:hint="eastAsia"/>
                <w:kern w:val="0"/>
                <w:sz w:val="28"/>
                <w:szCs w:val="28"/>
              </w:rPr>
              <w:t>县发改局、科技局、工信商务局、财政局、自然资源局农业局、文旅局、市场监管局、城管局、陶瓷管委会、招商办、金融办，县税务局、邮政公司，供电公司，人行泉州支行德化分行，县总工会、侨联、贸促会。</w:t>
            </w:r>
          </w:p>
          <w:p w:rsidR="003F55C5" w:rsidRPr="008909F9" w:rsidRDefault="003F55C5" w:rsidP="008909F9">
            <w:pPr>
              <w:widowControl/>
              <w:shd w:val="clear" w:color="auto" w:fill="FFFFFF"/>
              <w:spacing w:line="570" w:lineRule="exact"/>
              <w:ind w:rightChars="56" w:right="177" w:firstLineChars="100" w:firstLine="276"/>
              <w:rPr>
                <w:rFonts w:ascii="仿宋_GB2312"/>
                <w:color w:val="000000"/>
                <w:sz w:val="28"/>
                <w:szCs w:val="28"/>
              </w:rPr>
            </w:pPr>
            <w:r w:rsidRPr="008909F9">
              <w:rPr>
                <w:rFonts w:ascii="仿宋_GB2312" w:cs="仿宋_GB2312" w:hint="eastAsia"/>
                <w:color w:val="000000"/>
                <w:sz w:val="28"/>
                <w:szCs w:val="28"/>
              </w:rPr>
              <w:t>抄送：县委办公室，县纪委监委办公室。</w:t>
            </w:r>
          </w:p>
          <w:p w:rsidR="003F55C5" w:rsidRPr="008909F9" w:rsidRDefault="003F55C5" w:rsidP="008909F9">
            <w:pPr>
              <w:spacing w:line="550" w:lineRule="exact"/>
              <w:ind w:firstLineChars="399" w:firstLine="1101"/>
              <w:rPr>
                <w:rFonts w:ascii="仿宋_GB2312" w:cs="仿宋_GB2312"/>
                <w:szCs w:val="32"/>
              </w:rPr>
            </w:pPr>
            <w:r w:rsidRPr="008909F9">
              <w:rPr>
                <w:rFonts w:ascii="仿宋_GB2312" w:cs="仿宋_GB2312" w:hint="eastAsia"/>
                <w:color w:val="000000"/>
                <w:sz w:val="28"/>
                <w:szCs w:val="28"/>
              </w:rPr>
              <w:t>县人大常委会办公室，县政协办公室。</w:t>
            </w:r>
          </w:p>
        </w:tc>
      </w:tr>
      <w:tr w:rsidR="003F55C5" w:rsidTr="008909F9">
        <w:tc>
          <w:tcPr>
            <w:tcW w:w="9060" w:type="dxa"/>
            <w:tcBorders>
              <w:left w:val="nil"/>
              <w:right w:val="nil"/>
            </w:tcBorders>
          </w:tcPr>
          <w:p w:rsidR="003F55C5" w:rsidRPr="008909F9" w:rsidRDefault="003F55C5" w:rsidP="008909F9">
            <w:pPr>
              <w:spacing w:line="550" w:lineRule="exact"/>
              <w:ind w:firstLineChars="100" w:firstLine="276"/>
              <w:rPr>
                <w:rFonts w:ascii="仿宋_GB2312" w:cs="仿宋_GB2312"/>
                <w:szCs w:val="32"/>
              </w:rPr>
            </w:pPr>
            <w:r w:rsidRPr="008909F9">
              <w:rPr>
                <w:rFonts w:ascii="仿宋_GB2312" w:hAnsi="宋体" w:cs="仿宋_GB2312" w:hint="eastAsia"/>
                <w:color w:val="000000"/>
                <w:kern w:val="0"/>
                <w:sz w:val="28"/>
                <w:szCs w:val="28"/>
              </w:rPr>
              <w:t>德化县人民政府办公室</w:t>
            </w:r>
            <w:r w:rsidRPr="008909F9">
              <w:rPr>
                <w:rFonts w:ascii="仿宋_GB2312" w:hAnsi="宋体" w:cs="仿宋_GB2312"/>
                <w:color w:val="000000"/>
                <w:kern w:val="0"/>
                <w:sz w:val="28"/>
                <w:szCs w:val="28"/>
              </w:rPr>
              <w:t xml:space="preserve">    </w:t>
            </w:r>
            <w:r w:rsidRPr="008909F9">
              <w:rPr>
                <w:rFonts w:ascii="仿宋_GB2312" w:hAnsi="宋体" w:cs="仿宋_GB2312" w:hint="eastAsia"/>
                <w:color w:val="000000"/>
                <w:kern w:val="0"/>
                <w:sz w:val="28"/>
                <w:szCs w:val="28"/>
              </w:rPr>
              <w:t xml:space="preserve">　</w:t>
            </w:r>
            <w:r w:rsidRPr="008909F9">
              <w:rPr>
                <w:rFonts w:ascii="仿宋_GB2312" w:hAnsi="宋体" w:cs="仿宋_GB2312"/>
                <w:color w:val="000000"/>
                <w:kern w:val="0"/>
                <w:sz w:val="28"/>
                <w:szCs w:val="28"/>
              </w:rPr>
              <w:t xml:space="preserve">  </w:t>
            </w:r>
            <w:r w:rsidRPr="008909F9">
              <w:rPr>
                <w:rFonts w:ascii="仿宋_GB2312" w:hAnsi="宋体" w:cs="仿宋_GB2312" w:hint="eastAsia"/>
                <w:color w:val="000000"/>
                <w:kern w:val="0"/>
                <w:sz w:val="28"/>
                <w:szCs w:val="28"/>
              </w:rPr>
              <w:t xml:space="preserve">　</w:t>
            </w:r>
            <w:r w:rsidRPr="008909F9">
              <w:rPr>
                <w:rFonts w:ascii="仿宋_GB2312" w:hAnsi="宋体" w:cs="仿宋_GB2312"/>
                <w:color w:val="000000"/>
                <w:kern w:val="0"/>
                <w:sz w:val="28"/>
                <w:szCs w:val="28"/>
              </w:rPr>
              <w:t xml:space="preserve">          2020</w:t>
            </w:r>
            <w:r w:rsidRPr="008909F9">
              <w:rPr>
                <w:rFonts w:ascii="仿宋_GB2312" w:hAnsi="宋体" w:cs="仿宋_GB2312" w:hint="eastAsia"/>
                <w:color w:val="000000"/>
                <w:kern w:val="0"/>
                <w:sz w:val="28"/>
                <w:szCs w:val="28"/>
              </w:rPr>
              <w:t>年</w:t>
            </w:r>
            <w:r w:rsidRPr="008909F9">
              <w:rPr>
                <w:rFonts w:ascii="仿宋_GB2312" w:hAnsi="宋体" w:cs="仿宋_GB2312"/>
                <w:color w:val="000000"/>
                <w:kern w:val="0"/>
                <w:sz w:val="28"/>
                <w:szCs w:val="28"/>
              </w:rPr>
              <w:t>6</w:t>
            </w:r>
            <w:r w:rsidRPr="008909F9">
              <w:rPr>
                <w:rFonts w:ascii="仿宋_GB2312" w:hAnsi="宋体" w:cs="仿宋_GB2312" w:hint="eastAsia"/>
                <w:color w:val="000000"/>
                <w:kern w:val="0"/>
                <w:sz w:val="28"/>
                <w:szCs w:val="28"/>
              </w:rPr>
              <w:t>月</w:t>
            </w:r>
            <w:r w:rsidRPr="008909F9">
              <w:rPr>
                <w:rFonts w:ascii="仿宋_GB2312" w:hAnsi="宋体" w:cs="仿宋_GB2312"/>
                <w:color w:val="000000"/>
                <w:kern w:val="0"/>
                <w:sz w:val="28"/>
                <w:szCs w:val="28"/>
              </w:rPr>
              <w:t>29</w:t>
            </w:r>
            <w:r w:rsidRPr="008909F9">
              <w:rPr>
                <w:rFonts w:ascii="仿宋_GB2312" w:hAnsi="宋体" w:cs="仿宋_GB2312" w:hint="eastAsia"/>
                <w:color w:val="000000"/>
                <w:kern w:val="0"/>
                <w:sz w:val="28"/>
                <w:szCs w:val="28"/>
              </w:rPr>
              <w:t>日印发</w:t>
            </w:r>
          </w:p>
        </w:tc>
      </w:tr>
    </w:tbl>
    <w:p w:rsidR="003F55C5" w:rsidRDefault="003F55C5" w:rsidP="00B86DDD">
      <w:pPr>
        <w:spacing w:line="14" w:lineRule="exact"/>
        <w:ind w:firstLineChars="1477" w:firstLine="4665"/>
        <w:rPr>
          <w:rFonts w:ascii="仿宋_GB2312" w:cs="仿宋_GB2312"/>
          <w:szCs w:val="32"/>
        </w:rPr>
      </w:pPr>
    </w:p>
    <w:p w:rsidR="003F55C5" w:rsidRDefault="003F55C5" w:rsidP="00B86DDD">
      <w:pPr>
        <w:spacing w:line="14" w:lineRule="exact"/>
      </w:pPr>
      <w:r>
        <w:rPr>
          <w:noProof/>
        </w:rPr>
        <w:pict>
          <v:rect id="_x0000_s1028" style="position:absolute;left:0;text-align:left;margin-left:11.9pt;margin-top:25.05pt;width:86.9pt;height:54.3pt;z-index:251656704" stroked="f"/>
        </w:pict>
      </w:r>
    </w:p>
    <w:sectPr w:rsidR="003F55C5" w:rsidSect="00B86DDD">
      <w:headerReference w:type="even" r:id="rId6"/>
      <w:headerReference w:type="default" r:id="rId7"/>
      <w:footerReference w:type="even" r:id="rId8"/>
      <w:footerReference w:type="default" r:id="rId9"/>
      <w:headerReference w:type="first" r:id="rId10"/>
      <w:footerReference w:type="first" r:id="rId11"/>
      <w:pgSz w:w="11906" w:h="16838" w:code="9"/>
      <w:pgMar w:top="2098" w:right="1531" w:bottom="1985" w:left="1531" w:header="851" w:footer="158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C5" w:rsidRDefault="003F55C5" w:rsidP="006A22A4">
      <w:r>
        <w:separator/>
      </w:r>
    </w:p>
  </w:endnote>
  <w:endnote w:type="continuationSeparator" w:id="0">
    <w:p w:rsidR="003F55C5" w:rsidRDefault="003F55C5" w:rsidP="006A2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C5" w:rsidRDefault="003F55C5" w:rsidP="00B86DD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F55C5" w:rsidRDefault="003F55C5" w:rsidP="00B86DD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C5" w:rsidRPr="00B86DDD" w:rsidRDefault="003F55C5" w:rsidP="00152FAB">
    <w:pPr>
      <w:pStyle w:val="Footer"/>
      <w:framePr w:wrap="around" w:vAnchor="text" w:hAnchor="margin" w:xAlign="outside" w:y="1"/>
      <w:tabs>
        <w:tab w:val="left" w:pos="790"/>
      </w:tabs>
      <w:ind w:rightChars="88" w:right="282" w:firstLineChars="112" w:firstLine="314"/>
      <w:rPr>
        <w:rStyle w:val="PageNumber"/>
        <w:rFonts w:ascii="宋体" w:eastAsia="宋体" w:hAnsi="宋体"/>
        <w:sz w:val="28"/>
        <w:szCs w:val="28"/>
      </w:rPr>
    </w:pPr>
    <w:r>
      <w:rPr>
        <w:rStyle w:val="PageNumber"/>
        <w:rFonts w:ascii="宋体" w:eastAsia="宋体" w:hAnsi="宋体"/>
        <w:sz w:val="28"/>
        <w:szCs w:val="28"/>
      </w:rPr>
      <w:t xml:space="preserve">— </w:t>
    </w:r>
    <w:r w:rsidRPr="00B86DDD">
      <w:rPr>
        <w:rStyle w:val="PageNumber"/>
        <w:rFonts w:ascii="宋体" w:eastAsia="宋体" w:hAnsi="宋体"/>
        <w:sz w:val="28"/>
        <w:szCs w:val="28"/>
      </w:rPr>
      <w:fldChar w:fldCharType="begin"/>
    </w:r>
    <w:r w:rsidRPr="00B86DDD">
      <w:rPr>
        <w:rStyle w:val="PageNumber"/>
        <w:rFonts w:ascii="宋体" w:eastAsia="宋体" w:hAnsi="宋体"/>
        <w:sz w:val="28"/>
        <w:szCs w:val="28"/>
      </w:rPr>
      <w:instrText xml:space="preserve">PAGE  </w:instrText>
    </w:r>
    <w:r w:rsidRPr="00B86DDD">
      <w:rPr>
        <w:rStyle w:val="PageNumber"/>
        <w:rFonts w:ascii="宋体" w:eastAsia="宋体" w:hAnsi="宋体"/>
        <w:sz w:val="28"/>
        <w:szCs w:val="28"/>
      </w:rPr>
      <w:fldChar w:fldCharType="separate"/>
    </w:r>
    <w:r>
      <w:rPr>
        <w:rStyle w:val="PageNumber"/>
        <w:rFonts w:ascii="宋体" w:eastAsia="宋体" w:hAnsi="宋体"/>
        <w:noProof/>
        <w:sz w:val="28"/>
        <w:szCs w:val="28"/>
      </w:rPr>
      <w:t>12</w:t>
    </w:r>
    <w:r w:rsidRPr="00B86DDD">
      <w:rPr>
        <w:rStyle w:val="PageNumber"/>
        <w:rFonts w:ascii="宋体" w:eastAsia="宋体" w:hAnsi="宋体"/>
        <w:sz w:val="28"/>
        <w:szCs w:val="28"/>
      </w:rPr>
      <w:fldChar w:fldCharType="end"/>
    </w:r>
    <w:r>
      <w:rPr>
        <w:rStyle w:val="PageNumber"/>
        <w:rFonts w:ascii="宋体" w:eastAsia="宋体" w:hAnsi="宋体"/>
        <w:sz w:val="28"/>
        <w:szCs w:val="28"/>
      </w:rPr>
      <w:t xml:space="preserve"> —</w:t>
    </w:r>
  </w:p>
  <w:p w:rsidR="003F55C5" w:rsidRPr="00B86DDD" w:rsidRDefault="003F55C5" w:rsidP="00B86DDD">
    <w:pPr>
      <w:pStyle w:val="Footer"/>
      <w:ind w:right="360" w:firstLine="360"/>
      <w:rPr>
        <w:rFonts w:ascii="宋体" w:eastAsia="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C5" w:rsidRDefault="003F5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C5" w:rsidRDefault="003F55C5" w:rsidP="006A22A4">
      <w:r>
        <w:separator/>
      </w:r>
    </w:p>
  </w:footnote>
  <w:footnote w:type="continuationSeparator" w:id="0">
    <w:p w:rsidR="003F55C5" w:rsidRDefault="003F55C5" w:rsidP="006A2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C5" w:rsidRDefault="003F5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C5" w:rsidRDefault="003F55C5" w:rsidP="006C58F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C5" w:rsidRDefault="003F55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210"/>
    <w:rsid w:val="00012485"/>
    <w:rsid w:val="000414C8"/>
    <w:rsid w:val="00075047"/>
    <w:rsid w:val="000B3C36"/>
    <w:rsid w:val="00100714"/>
    <w:rsid w:val="00115BB9"/>
    <w:rsid w:val="00124BFF"/>
    <w:rsid w:val="00152FAB"/>
    <w:rsid w:val="001A25D7"/>
    <w:rsid w:val="001B3132"/>
    <w:rsid w:val="001B7676"/>
    <w:rsid w:val="001E3709"/>
    <w:rsid w:val="00242E28"/>
    <w:rsid w:val="00264576"/>
    <w:rsid w:val="002C04EE"/>
    <w:rsid w:val="0035086B"/>
    <w:rsid w:val="00396577"/>
    <w:rsid w:val="003C035A"/>
    <w:rsid w:val="003F55C5"/>
    <w:rsid w:val="003F6E05"/>
    <w:rsid w:val="0042569D"/>
    <w:rsid w:val="00442F56"/>
    <w:rsid w:val="004C2307"/>
    <w:rsid w:val="004D49C4"/>
    <w:rsid w:val="004E5B2C"/>
    <w:rsid w:val="004F33F9"/>
    <w:rsid w:val="00524EB4"/>
    <w:rsid w:val="00584558"/>
    <w:rsid w:val="0059009E"/>
    <w:rsid w:val="00607FA9"/>
    <w:rsid w:val="0064048D"/>
    <w:rsid w:val="00685130"/>
    <w:rsid w:val="00685C3F"/>
    <w:rsid w:val="006A22A4"/>
    <w:rsid w:val="006A2A94"/>
    <w:rsid w:val="006B34AA"/>
    <w:rsid w:val="006C58FD"/>
    <w:rsid w:val="006C7992"/>
    <w:rsid w:val="00717AE2"/>
    <w:rsid w:val="00723E0F"/>
    <w:rsid w:val="007514AD"/>
    <w:rsid w:val="0076188C"/>
    <w:rsid w:val="00765FBC"/>
    <w:rsid w:val="0078550C"/>
    <w:rsid w:val="007F3359"/>
    <w:rsid w:val="00821F20"/>
    <w:rsid w:val="00851377"/>
    <w:rsid w:val="00860778"/>
    <w:rsid w:val="0087026D"/>
    <w:rsid w:val="008909F9"/>
    <w:rsid w:val="008B3B09"/>
    <w:rsid w:val="008B3DA2"/>
    <w:rsid w:val="008B7200"/>
    <w:rsid w:val="008C2809"/>
    <w:rsid w:val="008C4822"/>
    <w:rsid w:val="008F7B78"/>
    <w:rsid w:val="00931A70"/>
    <w:rsid w:val="009504CF"/>
    <w:rsid w:val="00961E71"/>
    <w:rsid w:val="009772DB"/>
    <w:rsid w:val="00992144"/>
    <w:rsid w:val="009A5E80"/>
    <w:rsid w:val="00A13786"/>
    <w:rsid w:val="00A23F54"/>
    <w:rsid w:val="00A46B9F"/>
    <w:rsid w:val="00A74210"/>
    <w:rsid w:val="00AF4665"/>
    <w:rsid w:val="00B35535"/>
    <w:rsid w:val="00B4721B"/>
    <w:rsid w:val="00B62F10"/>
    <w:rsid w:val="00B715EF"/>
    <w:rsid w:val="00B86DDD"/>
    <w:rsid w:val="00B93506"/>
    <w:rsid w:val="00C3115D"/>
    <w:rsid w:val="00C56854"/>
    <w:rsid w:val="00C738E1"/>
    <w:rsid w:val="00CB70C3"/>
    <w:rsid w:val="00CF31FE"/>
    <w:rsid w:val="00D16E58"/>
    <w:rsid w:val="00D636A4"/>
    <w:rsid w:val="00DB4105"/>
    <w:rsid w:val="00DD4B75"/>
    <w:rsid w:val="00E01399"/>
    <w:rsid w:val="00E01FCC"/>
    <w:rsid w:val="00E05748"/>
    <w:rsid w:val="00E37945"/>
    <w:rsid w:val="00E47DEE"/>
    <w:rsid w:val="00E71265"/>
    <w:rsid w:val="00EC757E"/>
    <w:rsid w:val="00F0795C"/>
    <w:rsid w:val="00F529A7"/>
    <w:rsid w:val="00F63341"/>
    <w:rsid w:val="00F701C6"/>
    <w:rsid w:val="00F7034E"/>
    <w:rsid w:val="00F87773"/>
    <w:rsid w:val="00FA0B83"/>
    <w:rsid w:val="00FD4852"/>
    <w:rsid w:val="00FE7DCD"/>
    <w:rsid w:val="0CA66251"/>
    <w:rsid w:val="0D414270"/>
    <w:rsid w:val="11DC5CC5"/>
    <w:rsid w:val="1B55060B"/>
    <w:rsid w:val="1B7176EF"/>
    <w:rsid w:val="35C16963"/>
    <w:rsid w:val="3F2C1F46"/>
    <w:rsid w:val="4C041781"/>
    <w:rsid w:val="4D214782"/>
    <w:rsid w:val="5C5E0736"/>
    <w:rsid w:val="5D2D72CF"/>
    <w:rsid w:val="5EFD084F"/>
    <w:rsid w:val="647A2E07"/>
    <w:rsid w:val="648F071D"/>
    <w:rsid w:val="723776C1"/>
    <w:rsid w:val="72B828BC"/>
    <w:rsid w:val="73AA1474"/>
    <w:rsid w:val="77AD10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DD"/>
    <w:pPr>
      <w:widowControl w:val="0"/>
      <w:jc w:val="both"/>
    </w:pPr>
    <w:rPr>
      <w:rFonts w:ascii="Calibri" w:eastAsia="仿宋_GB2312" w:hAnsi="Calibri"/>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A22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A22A4"/>
    <w:rPr>
      <w:rFonts w:ascii="Calibri" w:eastAsia="宋体" w:hAnsi="Calibri" w:cs="Times New Roman"/>
      <w:sz w:val="18"/>
      <w:szCs w:val="18"/>
    </w:rPr>
  </w:style>
  <w:style w:type="paragraph" w:styleId="Header">
    <w:name w:val="header"/>
    <w:basedOn w:val="Normal"/>
    <w:link w:val="HeaderChar"/>
    <w:uiPriority w:val="99"/>
    <w:semiHidden/>
    <w:rsid w:val="006A22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A22A4"/>
    <w:rPr>
      <w:rFonts w:ascii="Calibri" w:eastAsia="宋体" w:hAnsi="Calibri" w:cs="Times New Roman"/>
      <w:sz w:val="18"/>
      <w:szCs w:val="18"/>
    </w:rPr>
  </w:style>
  <w:style w:type="paragraph" w:customStyle="1" w:styleId="HtmlNormal">
    <w:name w:val="HtmlNormal"/>
    <w:basedOn w:val="Normal"/>
    <w:uiPriority w:val="99"/>
    <w:rsid w:val="006A22A4"/>
    <w:pPr>
      <w:widowControl/>
      <w:spacing w:before="100" w:beforeAutospacing="1" w:after="100" w:afterAutospacing="1"/>
      <w:jc w:val="left"/>
    </w:pPr>
    <w:rPr>
      <w:rFonts w:ascii="Times New Roman" w:hAnsi="Times New Roman"/>
      <w:kern w:val="0"/>
      <w:sz w:val="24"/>
    </w:rPr>
  </w:style>
  <w:style w:type="character" w:customStyle="1" w:styleId="NormalCharacter">
    <w:name w:val="NormalCharacter"/>
    <w:uiPriority w:val="99"/>
    <w:rsid w:val="006A22A4"/>
  </w:style>
  <w:style w:type="paragraph" w:styleId="Date">
    <w:name w:val="Date"/>
    <w:basedOn w:val="Normal"/>
    <w:next w:val="Normal"/>
    <w:link w:val="DateChar"/>
    <w:uiPriority w:val="99"/>
    <w:rsid w:val="00B86DDD"/>
    <w:pPr>
      <w:ind w:leftChars="2500" w:left="100"/>
    </w:pPr>
  </w:style>
  <w:style w:type="character" w:customStyle="1" w:styleId="DateChar">
    <w:name w:val="Date Char"/>
    <w:basedOn w:val="DefaultParagraphFont"/>
    <w:link w:val="Date"/>
    <w:uiPriority w:val="99"/>
    <w:semiHidden/>
    <w:locked/>
    <w:rPr>
      <w:rFonts w:ascii="Calibri" w:eastAsia="仿宋_GB2312" w:hAnsi="Calibri" w:cs="Times New Roman"/>
      <w:sz w:val="32"/>
    </w:rPr>
  </w:style>
  <w:style w:type="table" w:styleId="TableGrid">
    <w:name w:val="Table Grid"/>
    <w:basedOn w:val="TableNormal"/>
    <w:uiPriority w:val="99"/>
    <w:locked/>
    <w:rsid w:val="00B86D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86DD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1014</TotalTime>
  <Pages>12</Pages>
  <Words>761</Words>
  <Characters>4343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德政办〔2020〕24号德化县人民政府办公室关于印发进一步稳外贸稳外资促消费若干措施的通知</dc:title>
  <dc:subject/>
  <dc:creator>admin</dc:creator>
  <cp:keywords/>
  <dc:description/>
  <cp:lastModifiedBy>微软用户</cp:lastModifiedBy>
  <cp:revision>8</cp:revision>
  <cp:lastPrinted>2020-07-06T03:14:00Z</cp:lastPrinted>
  <dcterms:created xsi:type="dcterms:W3CDTF">2020-06-29T03:51:00Z</dcterms:created>
  <dcterms:modified xsi:type="dcterms:W3CDTF">2020-07-06T03:33:00Z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