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E5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595DF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auto"/>
        </w:rPr>
        <w:t>2024年市级农业产业强镇申报指南</w:t>
      </w:r>
    </w:p>
    <w:bookmarkEnd w:id="0"/>
    <w:p w14:paraId="3B888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AAC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申报条件及名额</w:t>
      </w:r>
    </w:p>
    <w:p w14:paraId="64721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（一）申报条件。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申报创建市级农业产业强镇应具备以下条件：</w:t>
      </w:r>
    </w:p>
    <w:p w14:paraId="73FE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政府高度重视。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县、镇两级政府要积极主动布局农业产业强镇建设，申报的乡镇制定了农业产业发展规划，且思路清晰、目标明确、措施可行、支持力度大。</w:t>
      </w:r>
    </w:p>
    <w:p w14:paraId="3828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主导产业基础好。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业优势明显，产业规模较大，主导产业总产值达到2亿元以上。申报时，要将培育主导产业落实到具体品种类别，不得笼统地将粮食、水果、畜禽、水产等综合性行业作为主导产业，不得将休闲农业作为主导产业。</w:t>
      </w:r>
    </w:p>
    <w:p w14:paraId="6714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产业融合初见成效。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围绕主导产业初步形成农村一二三产业融合发展的格局，主体多元、业态多样、类型丰富，农产品加工业产值与农业产值比达到2:1。</w:t>
      </w:r>
    </w:p>
    <w:p w14:paraId="5649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产业布局科学合理。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主导产业与当地发展基础、资源条件、生态环境、经济区位等相匹配，发展功能定位准确、镇域公共基础设施完备，服务设施配套，产业发展与村庄建设、生态宜居同步推进。</w:t>
      </w:r>
    </w:p>
    <w:p w14:paraId="2C162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联农带农机制初步建立。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积极创新联农带农激励机制，推动村集体和家庭农场、农民合作社、农业产业化龙头企业等新型经营主体与农户建立紧密利益联结机制，分享二三产业增值收益。</w:t>
      </w:r>
    </w:p>
    <w:p w14:paraId="22411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（二）申报名额。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2024年度市级计划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评选3个创建乡镇。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）可推荐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申报1个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市级农业产业强镇。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已获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国家级、省级农业产业强镇的乡镇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不得重复申报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auto"/>
          <w:lang w:eastAsia="zh-CN"/>
        </w:rPr>
        <w:t>优先支持以下对象开展创建工作：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①已列入特色现代农业高质量发展省级“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3212”和市级“4222”工程备选名单的乡镇（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赤水镇油茶、桂阳乡油茶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原省级扶贫开发工作重点县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欠发达老区苏区县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列入国家级、省级特色农产品优势区下辖乡镇；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列入泉州市“一县一溪一特色”项目创建范围乡镇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。</w:t>
      </w:r>
    </w:p>
    <w:p w14:paraId="6CAF9F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二、建设内容</w:t>
      </w:r>
    </w:p>
    <w:p w14:paraId="4934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壮大农业主导产业。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依托镇域1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个农业特色主导产业，加快全产业链、全价值链建设。着力支持生产基地、仓储物流、保鲜加工、品牌营销等环节，构建特色鲜明、布局合理、创业活跃的乡村产业体系，催生新业态新模式、创响特色品牌，示范引领城乡融合发展。</w:t>
      </w:r>
    </w:p>
    <w:p w14:paraId="6D0FC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培育产业融合主体。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农民合作社和家庭农场发展农产品初加工，引导农业企业与农民合作社、农户联合建设原料基地、贮藏和加工车间等。鼓励发展农业产业化龙头企业带动、农民合作社和家庭农场跟进、小农户参与的农业产业化联合体，增强乡村产业发展内生动力。</w:t>
      </w:r>
    </w:p>
    <w:p w14:paraId="56E7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创新利益联结机制。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龙头企业以乡镇为基地建设加工物流中心，就近就地吸引农民就业、创业。引导农业企业与小农户建立契约型、分红型、股权型等合作方式，把利益分配重点向产业链上游倾斜、促进农民持续增收，让农户更多分享乡村产业发展红利。</w:t>
      </w:r>
    </w:p>
    <w:p w14:paraId="56D11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三、资金安排与使用</w:t>
      </w:r>
    </w:p>
    <w:p w14:paraId="39C3E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资金安排与使用按照《泉州市市级特色现代农业发展资金管理规定》有关要求执行，资金管理规定有修订的，按修订后重新发布的规定执行。</w:t>
      </w:r>
    </w:p>
    <w:p w14:paraId="088E7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四、材料要求</w:t>
      </w:r>
    </w:p>
    <w:p w14:paraId="09EAC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1.《农业产业强镇资金使用表》（附件1）。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于5月31日前将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《农业产业强镇资金使用表》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盖章扫描件报送县农业农村局（政务邮箱：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nyncj@dehua.gov.cn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），同时报送电子版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该表是农业产业强镇申报材料的前期基础资料。请按时报送。</w:t>
      </w:r>
    </w:p>
    <w:p w14:paraId="158D9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《农业产业强镇建设申报表》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《农业产业强镇建设实施方案》（附件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加盖公章）</w:t>
      </w:r>
    </w:p>
    <w:p w14:paraId="749D6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.相关证明材料。</w:t>
      </w:r>
    </w:p>
    <w:p w14:paraId="08F2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2.3点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材料汇编胶装成册一式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套（A4纸双面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彩印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上报时间另行通知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37A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03A4B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.2024年市级农业产业强镇资金使用表</w:t>
      </w:r>
    </w:p>
    <w:p w14:paraId="52C58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.农业产业强镇建设申报表</w:t>
      </w:r>
    </w:p>
    <w:p w14:paraId="342F097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农业产业强镇建设实施方案（模板）</w:t>
      </w:r>
    </w:p>
    <w:p w14:paraId="675ACB9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1</w:t>
      </w:r>
    </w:p>
    <w:p w14:paraId="5E5B5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2024年市级农业产业强镇资金使用表</w:t>
      </w:r>
    </w:p>
    <w:p w14:paraId="27A4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49E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      时间：   年   月   日</w:t>
      </w:r>
    </w:p>
    <w:tbl>
      <w:tblPr>
        <w:tblStyle w:val="3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85"/>
        <w:gridCol w:w="1335"/>
        <w:gridCol w:w="1080"/>
        <w:gridCol w:w="3030"/>
        <w:gridCol w:w="2715"/>
        <w:gridCol w:w="885"/>
        <w:gridCol w:w="1467"/>
        <w:gridCol w:w="888"/>
        <w:gridCol w:w="1080"/>
      </w:tblGrid>
      <w:tr w14:paraId="1D56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建设项目名称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建设承担主体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9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市级财政补助资金建设内容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B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A2B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E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C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9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0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5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市级财政补助资金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F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0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1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4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7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D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C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1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A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7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A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B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87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F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F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C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B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1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7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9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6A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B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B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9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2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E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2F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8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6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8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E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E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E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E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1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5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F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6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A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842CB6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 w14:paraId="05DDC630">
      <w:pPr>
        <w:keepNext w:val="0"/>
        <w:keepLines w:val="0"/>
        <w:pageBreakBefore w:val="0"/>
        <w:widowControl/>
        <w:kinsoku w:val="0"/>
        <w:overflowPunct/>
        <w:topLinePunct w:val="0"/>
        <w:autoSpaceDE/>
        <w:bidi w:val="0"/>
        <w:spacing w:line="540" w:lineRule="exact"/>
        <w:jc w:val="left"/>
        <w:rPr>
          <w:rFonts w:ascii="Times New Roman" w:hAnsi="Times New Roman" w:eastAsia="仿宋_GB2312"/>
          <w:sz w:val="32"/>
          <w:szCs w:val="32"/>
          <w:highlight w:val="none"/>
          <w:shd w:val="clear" w:color="auto" w:fill="auto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auto"/>
        </w:rPr>
        <w:br w:type="page"/>
      </w:r>
    </w:p>
    <w:p w14:paraId="367AAE55">
      <w:pPr>
        <w:keepNext w:val="0"/>
        <w:keepLines w:val="0"/>
        <w:pageBreakBefore w:val="0"/>
        <w:widowControl/>
        <w:kinsoku w:val="0"/>
        <w:overflowPunct/>
        <w:topLinePunct w:val="0"/>
        <w:autoSpaceDE/>
        <w:bidi w:val="0"/>
        <w:spacing w:line="540" w:lineRule="exact"/>
        <w:jc w:val="left"/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tbl>
      <w:tblPr>
        <w:tblStyle w:val="3"/>
        <w:tblpPr w:leftFromText="180" w:rightFromText="180" w:vertAnchor="text" w:tblpX="1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516"/>
        <w:gridCol w:w="252"/>
        <w:gridCol w:w="128"/>
        <w:gridCol w:w="810"/>
        <w:gridCol w:w="563"/>
        <w:gridCol w:w="335"/>
        <w:gridCol w:w="743"/>
        <w:gridCol w:w="1177"/>
        <w:gridCol w:w="153"/>
        <w:gridCol w:w="1216"/>
        <w:gridCol w:w="202"/>
        <w:gridCol w:w="76"/>
        <w:gridCol w:w="1766"/>
      </w:tblGrid>
      <w:tr w14:paraId="362F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85064AF"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/>
              <w:bidi w:val="0"/>
              <w:spacing w:line="540" w:lineRule="exact"/>
              <w:jc w:val="center"/>
              <w:rPr>
                <w:rFonts w:ascii="Times New Roman" w:hAnsi="Times New Roman" w:eastAsia="华文中宋"/>
                <w:b/>
                <w:bCs/>
                <w:color w:val="000000"/>
                <w:kern w:val="0"/>
                <w:sz w:val="36"/>
                <w:szCs w:val="36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华文中宋"/>
                <w:b/>
                <w:bCs/>
                <w:color w:val="000000"/>
                <w:kern w:val="0"/>
                <w:sz w:val="36"/>
                <w:szCs w:val="36"/>
                <w:highlight w:val="none"/>
                <w:shd w:val="clear" w:color="auto" w:fill="auto"/>
              </w:rPr>
              <w:t>农业产业强镇建设申报表</w:t>
            </w:r>
          </w:p>
        </w:tc>
      </w:tr>
      <w:tr w14:paraId="29D6B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DF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镇（乡）名称</w:t>
            </w: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AD2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u w:val="singl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县（市、区）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镇（乡）</w:t>
            </w:r>
          </w:p>
        </w:tc>
      </w:tr>
      <w:tr w14:paraId="1518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9E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FF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highlight w:val="none"/>
                <w:shd w:val="clear" w:color="auto" w:fill="auto"/>
              </w:rPr>
              <w:t>县级负责人及联系方式</w:t>
            </w: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BA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FF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 w14:paraId="415C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15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FF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2"/>
                <w:highlight w:val="none"/>
                <w:shd w:val="clear" w:color="auto" w:fill="auto"/>
              </w:rPr>
              <w:t>乡镇负责人及联系方式</w:t>
            </w: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6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FF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6CC6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F36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镇域面积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（平方公里）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B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DB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人口情况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（万人）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C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 w14:paraId="30CF3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530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农业主导产业</w:t>
            </w:r>
          </w:p>
        </w:tc>
        <w:tc>
          <w:tcPr>
            <w:tcW w:w="41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8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1.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3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2.</w:t>
            </w:r>
          </w:p>
        </w:tc>
      </w:tr>
      <w:tr w14:paraId="66AA2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14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年农业产值（亿元）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5F5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254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FAE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主导产业产值（亿元）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0C8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1.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亿元</w:t>
            </w:r>
          </w:p>
        </w:tc>
      </w:tr>
      <w:tr w14:paraId="116D4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1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年农产品加工业产值（亿元）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11E5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254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FD57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AC1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2.      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亿元</w:t>
            </w:r>
          </w:p>
        </w:tc>
      </w:tr>
      <w:tr w14:paraId="21BCF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0C3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202</w:t>
            </w:r>
            <w:r>
              <w:rPr>
                <w:rFonts w:hint="eastAsia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年农产品加工业产值与农业产值的比值</w:t>
            </w:r>
          </w:p>
        </w:tc>
        <w:tc>
          <w:tcPr>
            <w:tcW w:w="24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C8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28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A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镇域内农业产业化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龙头企业数量（个）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（附证明材料）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19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国家级个</w:t>
            </w:r>
          </w:p>
        </w:tc>
      </w:tr>
      <w:tr w14:paraId="16D01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95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5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8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01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0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省级个</w:t>
            </w:r>
          </w:p>
        </w:tc>
      </w:tr>
      <w:tr w14:paraId="31413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3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763F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7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8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19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A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地市级个</w:t>
            </w:r>
          </w:p>
        </w:tc>
      </w:tr>
      <w:tr w14:paraId="4A7ED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20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镇域内农民合作社数量（个）；家庭农场数量（个）（附证明材料）</w:t>
            </w:r>
          </w:p>
        </w:tc>
      </w:tr>
      <w:tr w14:paraId="2A7C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65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主要农产品获得绿色食品、有机食品或者农产品地理标识登记情况（附证明材料）</w:t>
            </w: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0C5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绿色食品认证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无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（如有：有个，产品名称：）</w:t>
            </w:r>
          </w:p>
        </w:tc>
      </w:tr>
      <w:tr w14:paraId="1671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9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C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D38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有机食品认证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无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（如有：有个，产品名称：）</w:t>
            </w:r>
          </w:p>
        </w:tc>
      </w:tr>
      <w:tr w14:paraId="5E53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4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5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954B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农产品地理标识登记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无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（如有：有个，产品名称：）</w:t>
            </w:r>
          </w:p>
        </w:tc>
      </w:tr>
      <w:tr w14:paraId="4E3E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D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有无编制镇域农业产业发展总体规划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（如有，请附证明材料并扫描附后）</w:t>
            </w:r>
          </w:p>
        </w:tc>
        <w:tc>
          <w:tcPr>
            <w:tcW w:w="53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F2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 xml:space="preserve">     □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无</w:t>
            </w:r>
          </w:p>
        </w:tc>
      </w:tr>
      <w:tr w14:paraId="6992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4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338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县级相关支持政策情况（附证明材料）</w:t>
            </w:r>
          </w:p>
        </w:tc>
        <w:tc>
          <w:tcPr>
            <w:tcW w:w="623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6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 w14:paraId="2F2A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C4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乡镇农村居民人均可支配收入（万元）</w:t>
            </w:r>
          </w:p>
        </w:tc>
        <w:tc>
          <w:tcPr>
            <w:tcW w:w="62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A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  <w:p w14:paraId="76CF83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 w14:paraId="666C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1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主导产业</w:t>
            </w:r>
          </w:p>
          <w:p w14:paraId="0BA7E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基本情况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300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字以内）</w:t>
            </w:r>
          </w:p>
        </w:tc>
        <w:tc>
          <w:tcPr>
            <w:tcW w:w="74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D7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5E0A8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7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A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产业融合</w:t>
            </w:r>
          </w:p>
          <w:p w14:paraId="654A4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发展情况</w:t>
            </w:r>
          </w:p>
          <w:p w14:paraId="59F45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300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字以内）</w:t>
            </w:r>
          </w:p>
        </w:tc>
        <w:tc>
          <w:tcPr>
            <w:tcW w:w="74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8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0EDAA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7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7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联农带农机制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300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字以内）</w:t>
            </w:r>
          </w:p>
        </w:tc>
        <w:tc>
          <w:tcPr>
            <w:tcW w:w="74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0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2450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9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131CD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财政补助资金建设项目及资金测算安排</w:t>
            </w:r>
          </w:p>
        </w:tc>
        <w:tc>
          <w:tcPr>
            <w:tcW w:w="1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9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5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具体实施内容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B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计划投资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22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其中：财政资金</w:t>
            </w:r>
          </w:p>
        </w:tc>
      </w:tr>
      <w:tr w14:paraId="6C328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1574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3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F27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D8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2B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15FC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9F5B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7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58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D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8D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53BE5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6213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6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（可加行）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C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E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AF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17449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3F34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CCF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4A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6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AC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6240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1D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申请单位意见</w:t>
            </w:r>
          </w:p>
        </w:tc>
        <w:tc>
          <w:tcPr>
            <w:tcW w:w="74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41A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  <w:t>负责人签字：（公章）年月日</w:t>
            </w:r>
          </w:p>
        </w:tc>
      </w:tr>
      <w:tr w14:paraId="7BB84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F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县级农业农村部门推荐意见</w:t>
            </w:r>
          </w:p>
        </w:tc>
        <w:tc>
          <w:tcPr>
            <w:tcW w:w="3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79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54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县级财政部门推荐意见</w:t>
            </w:r>
          </w:p>
        </w:tc>
        <w:tc>
          <w:tcPr>
            <w:tcW w:w="3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7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  <w:tr w14:paraId="2E0B2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B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  <w:t>泉州市农业农村局审批意见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EB2A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000000"/>
                <w:kern w:val="0"/>
                <w:sz w:val="22"/>
                <w:highlight w:val="none"/>
                <w:shd w:val="clear" w:color="auto" w:fill="auto"/>
              </w:rPr>
            </w:pPr>
          </w:p>
        </w:tc>
      </w:tr>
    </w:tbl>
    <w:p w14:paraId="06E5DB6C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left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sectPr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 w14:paraId="1FD4A1AD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left"/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 w14:paraId="5D08421A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right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3608FD96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right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1942BB93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6D7DD67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highlight w:val="none"/>
          <w:shd w:val="clear" w:color="auto" w:fill="auto"/>
        </w:rPr>
        <w:t>农业产业强镇建设</w:t>
      </w:r>
    </w:p>
    <w:p w14:paraId="09F496DD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华文中宋"/>
          <w:b/>
          <w:bCs/>
          <w:sz w:val="52"/>
          <w:szCs w:val="52"/>
          <w:highlight w:val="none"/>
          <w:shd w:val="clear" w:color="auto" w:fill="auto"/>
        </w:rPr>
      </w:pPr>
    </w:p>
    <w:p w14:paraId="41D6110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/>
          <w:b/>
          <w:bCs/>
          <w:sz w:val="72"/>
          <w:szCs w:val="72"/>
          <w:highlight w:val="none"/>
          <w:shd w:val="clear" w:color="auto" w:fill="auto"/>
        </w:rPr>
      </w:pPr>
    </w:p>
    <w:p w14:paraId="7387D18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</w:pPr>
      <w:r>
        <w:rPr>
          <w:rFonts w:hint="eastAsia"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  <w:t>实</w:t>
      </w:r>
    </w:p>
    <w:p w14:paraId="3E5139B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</w:pPr>
      <w:r>
        <w:rPr>
          <w:rFonts w:hint="eastAsia"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  <w:t>施</w:t>
      </w:r>
    </w:p>
    <w:p w14:paraId="2ED4A4F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</w:pPr>
      <w:r>
        <w:rPr>
          <w:rFonts w:hint="eastAsia"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  <w:t>方</w:t>
      </w:r>
    </w:p>
    <w:p w14:paraId="739D286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</w:pPr>
      <w:r>
        <w:rPr>
          <w:rFonts w:hint="eastAsia" w:ascii="Times New Roman" w:hAnsi="Times New Roman" w:eastAsia="华文中宋"/>
          <w:b/>
          <w:bCs/>
          <w:sz w:val="56"/>
          <w:szCs w:val="56"/>
          <w:highlight w:val="none"/>
          <w:shd w:val="clear" w:color="auto" w:fill="auto"/>
        </w:rPr>
        <w:t>案</w:t>
      </w:r>
    </w:p>
    <w:p w14:paraId="41BF402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0DABF51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34A5C82C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4399493D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7C67D51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3B825181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华文中宋"/>
          <w:b/>
          <w:bCs/>
          <w:sz w:val="36"/>
          <w:szCs w:val="36"/>
          <w:highlight w:val="none"/>
          <w:shd w:val="clear" w:color="auto" w:fill="auto"/>
        </w:rPr>
      </w:pPr>
    </w:p>
    <w:p w14:paraId="26211704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</w:pPr>
      <w:r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***</w:t>
      </w:r>
      <w:r>
        <w:rPr>
          <w:rFonts w:hint="eastAsia"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县（市、区）</w:t>
      </w:r>
      <w:r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***</w:t>
      </w:r>
      <w:r>
        <w:rPr>
          <w:rFonts w:hint="eastAsia"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镇（乡）</w:t>
      </w:r>
    </w:p>
    <w:p w14:paraId="74CC266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</w:pPr>
      <w:r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202</w:t>
      </w:r>
      <w:r>
        <w:rPr>
          <w:rFonts w:hint="eastAsia" w:eastAsia="楷体_GB2312"/>
          <w:b/>
          <w:bCs/>
          <w:sz w:val="36"/>
          <w:szCs w:val="36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年</w:t>
      </w:r>
      <w:r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**</w:t>
      </w:r>
      <w:r>
        <w:rPr>
          <w:rFonts w:hint="eastAsia"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月</w:t>
      </w:r>
      <w:r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**</w:t>
      </w:r>
      <w:r>
        <w:rPr>
          <w:rFonts w:hint="eastAsia"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t>日</w:t>
      </w:r>
    </w:p>
    <w:p w14:paraId="26C0347A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jc w:val="center"/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</w:pPr>
      <w:r>
        <w:rPr>
          <w:rFonts w:ascii="Times New Roman" w:hAnsi="Times New Roman" w:eastAsia="楷体_GB2312"/>
          <w:b/>
          <w:bCs/>
          <w:sz w:val="36"/>
          <w:szCs w:val="36"/>
          <w:highlight w:val="none"/>
          <w:shd w:val="clear" w:color="auto" w:fill="auto"/>
        </w:rPr>
        <w:br w:type="page"/>
      </w:r>
    </w:p>
    <w:p w14:paraId="6336EDC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left="0" w:leftChars="0" w:firstLine="640" w:firstLineChars="200"/>
        <w:jc w:val="left"/>
        <w:rPr>
          <w:rFonts w:ascii="Times New Roman" w:hAnsi="Times New Roman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一、镇（乡）基本情况</w:t>
      </w:r>
    </w:p>
    <w:p w14:paraId="1B4673EB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包括项目建设镇（乡）区域范围、基本条件、农业产业发展情况等。</w:t>
      </w:r>
    </w:p>
    <w:p w14:paraId="4B5F8419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ascii="Times New Roman" w:hAnsi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二、主导产业发展情况</w:t>
      </w:r>
    </w:p>
    <w:p w14:paraId="5CE8522A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包括主导产业规模、规划布局、发展思路、产业融合现状、带动能力、联农带农机制创新、技术研发应用、绿色发展、品牌建设等方面。</w:t>
      </w:r>
    </w:p>
    <w:p w14:paraId="4290C57D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ascii="Times New Roman" w:hAnsi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三、建设思路目标</w:t>
      </w:r>
    </w:p>
    <w:p w14:paraId="725378C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包括建设的思路原则、任务目标等。</w:t>
      </w:r>
    </w:p>
    <w:p w14:paraId="21F56541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四、主要建设内容</w:t>
      </w:r>
    </w:p>
    <w:p w14:paraId="2539239E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包括承担主体、主要建设项目（实施内容）、计划投资和财政补助资金等方面。</w:t>
      </w:r>
    </w:p>
    <w:p w14:paraId="630A9654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ascii="Times New Roman" w:hAnsi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五、建设资金使用和管理</w:t>
      </w:r>
    </w:p>
    <w:p w14:paraId="4A1A72B8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包括资金使用、资金管理、资金监督以及报账支出审核审批等方面。</w:t>
      </w:r>
    </w:p>
    <w:p w14:paraId="3267D06D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六、效益分析</w:t>
      </w:r>
    </w:p>
    <w:p w14:paraId="7B388913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包括经济效益、社会效益和生态效益等方面。</w:t>
      </w:r>
    </w:p>
    <w:p w14:paraId="416F33FD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七、支持政策</w:t>
      </w:r>
    </w:p>
    <w:p w14:paraId="138EBF0C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包括县、镇（乡）对主导产业发展、人才、科技等方面的支持政策。</w:t>
      </w:r>
    </w:p>
    <w:p w14:paraId="35CAB415">
      <w:pPr>
        <w:keepNext w:val="0"/>
        <w:keepLines w:val="0"/>
        <w:pageBreakBefore w:val="0"/>
        <w:kinsoku w:val="0"/>
        <w:overflowPunct/>
        <w:topLinePunct w:val="0"/>
        <w:autoSpaceDE/>
        <w:bidi w:val="0"/>
        <w:spacing w:line="540" w:lineRule="exact"/>
        <w:ind w:firstLine="640" w:firstLineChars="200"/>
        <w:rPr>
          <w:rFonts w:ascii="Times New Roman" w:hAnsi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auto"/>
        </w:rPr>
        <w:t>八、组织保障</w:t>
      </w:r>
    </w:p>
    <w:p w14:paraId="035902C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</w:rPr>
        <w:t>包括组织领导机制、运行机制、宣传策划等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jhhY2FkNjA0YjkzOWYzZTYxMDEwOWJhNDEyMDAifQ=="/>
  </w:docVars>
  <w:rsids>
    <w:rsidRoot w:val="55EA48A5"/>
    <w:rsid w:val="0DDC679B"/>
    <w:rsid w:val="0F933087"/>
    <w:rsid w:val="55EA48A5"/>
    <w:rsid w:val="7C68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2407</Words>
  <Characters>2511</Characters>
  <Lines>0</Lines>
  <Paragraphs>0</Paragraphs>
  <TotalTime>3</TotalTime>
  <ScaleCrop>false</ScaleCrop>
  <LinksUpToDate>false</LinksUpToDate>
  <CharactersWithSpaces>2617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2024-05-24T09:18:00Z</dcterms:created>
  <dc:creator>楂楂</dc:creator>
  <cp:lastModifiedBy>楂楂</cp:lastModifiedBy>
  <dcterms:modified xsi:type="dcterms:W3CDTF">2024-08-07T10:40:35Z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3B52B0A77DBB4DE1925AF947A5D94489_13</vt:lpwstr>
  </property>
</Properties>
</file>