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78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right="0" w:rightChars="0"/>
        <w:jc w:val="left"/>
        <w:textAlignment w:val="auto"/>
        <w:rPr>
          <w:rFonts w:ascii="黑体" w:hAnsi="黑体" w:eastAsia="黑体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</w:rPr>
        <w:t>附件</w:t>
      </w:r>
      <w:r>
        <w:rPr>
          <w:rFonts w:ascii="黑体" w:hAnsi="黑体" w:eastAsia="黑体"/>
          <w:sz w:val="32"/>
          <w:szCs w:val="32"/>
          <w:highlight w:val="none"/>
          <w:shd w:val="clear" w:color="auto" w:fill="auto"/>
        </w:rPr>
        <w:t>1</w:t>
      </w:r>
    </w:p>
    <w:p w14:paraId="5A4C54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</w:pPr>
    </w:p>
    <w:p w14:paraId="40A36C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  <w:lang w:val="en-US"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  <w:t>现代农业产业园申报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  <w:lang w:val="en-US" w:eastAsia="zh-CN"/>
        </w:rPr>
        <w:t>指南</w:t>
      </w:r>
    </w:p>
    <w:p w14:paraId="4223A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 w14:paraId="70D7C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  <w:t>一、申报</w:t>
      </w:r>
      <w:r>
        <w:rPr>
          <w:rFonts w:hint="eastAsia" w:eastAsia="黑体" w:cs="Times New Roman"/>
          <w:sz w:val="32"/>
          <w:szCs w:val="32"/>
          <w:highlight w:val="none"/>
          <w:shd w:val="clear" w:color="auto" w:fill="auto"/>
          <w:lang w:val="en-US" w:eastAsia="zh-CN"/>
        </w:rPr>
        <w:t>条件及名额</w:t>
      </w:r>
    </w:p>
    <w:p w14:paraId="0FC06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eastAsia="zh-CN"/>
        </w:rPr>
        <w:t>（一）申报条件。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市级现代农业产业园创建工作由县级规划实施，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建设范围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应覆盖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～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5个毗邻或邻近的乡镇，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规划范围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乡镇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不得与已获市级以上财政资金补助的产业强镇重复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，且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应具备以下条件：</w:t>
      </w:r>
    </w:p>
    <w:p w14:paraId="67B55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主导产业发展水平较高。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产业园年总产值超过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亿元，主导产业产值占产业园总产值50%以上；形成规模化、标准化农产品生产基地，二三产业支撑有力，农产品初加工转化率达80%以上。</w:t>
      </w:r>
    </w:p>
    <w:p w14:paraId="4FA66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新技术新装备广泛应用。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产业园生产设施条件良好，生产经营信息化水平较高，现代要素集聚能力较强，技术集成应用水平较高，新产品新技术新装备开发应用成效明显。</w:t>
      </w:r>
    </w:p>
    <w:p w14:paraId="27058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绿色发展成效突出。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产业园种养结合紧密，农业生产清洁化，农业废弃物资源化利用走在全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前列，生产标准化、经营品牌化、质量可追溯，产品优质安全，园区内农产品抽检合格率达到99%以上。</w:t>
      </w:r>
    </w:p>
    <w:p w14:paraId="1DDB9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政策</w:t>
      </w:r>
      <w:r>
        <w:rPr>
          <w:rFonts w:hint="eastAsia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措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施支持有力。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县级政府支持力度大，统筹整合财政专项、基本建设投资等资金用于产业园建设，并在用地保障、财政扶持、金融服务、科技创新应用、人才支撑等方面有明确的政策措施，政策有针对性和可操作性。园区水、电、路、讯、网络等基础设施完备。</w:t>
      </w:r>
    </w:p>
    <w:p w14:paraId="2FD41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带动农民增收明显。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主要经营主体与农民（含脱贫户）建立利益紧密的联结机制，带动脱贫人口和易返贫致贫对象参与生产经营增收，产业园内农民收入高于全县（市、区）平均水平。</w:t>
      </w:r>
    </w:p>
    <w:p w14:paraId="2AD24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eastAsia="zh-CN"/>
        </w:rPr>
        <w:t>（二）申报名额。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每个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县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可推荐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申报1个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市级现代农业产业园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eastAsia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优先支持以下对象开展创建工作：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①已列入特色现代农业高质量发展省级“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3212”和市级“4222”工程备选名单的现代农业产业园；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②建设范围包涵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原省级扶贫开发工作重点县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欠发达老区苏区县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或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列入国家级、省级特色农产品优势区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所在乡镇；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③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列入泉州市“一县一溪一特色”项目创建范围乡镇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。</w:t>
      </w:r>
    </w:p>
    <w:p w14:paraId="6ADEA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黑体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eastAsia="黑体" w:cs="Times New Roman"/>
          <w:sz w:val="32"/>
          <w:szCs w:val="32"/>
          <w:highlight w:val="none"/>
          <w:shd w:val="clear" w:color="auto" w:fill="auto"/>
          <w:lang w:eastAsia="zh-CN"/>
        </w:rPr>
        <w:t>二、建设内容</w:t>
      </w:r>
    </w:p>
    <w:p w14:paraId="3D5A6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产业园立足优势特色产业，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绕设施化、园区化、融合化、绿色化、数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字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化，推进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生产+加工＋科技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+品牌”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一体化发展，聚集资源要素，延长产业链条，补齐发展短板，完善利益联结，构建形成政府引导、市场运作、农民受益、共享发展的产业园建设格局。重点围绕以下任务开展建设：</w:t>
      </w:r>
    </w:p>
    <w:p w14:paraId="5103E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eastAsia="zh-CN"/>
        </w:rPr>
        <w:t>（一）做强做优做大主导产业。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培育壮大1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～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2个具有较强竞争优势的主导产业。依托主导产业，推进种养规模化、加工集群化、科技集成化、营销品牌化。建成一批高标准规模化原料生产基地，培育一批农产品加工企业和品牌，形成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一村一品、一镇一业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发展格局，将产业园打造成为乡村产业振兴引领区。</w:t>
      </w:r>
    </w:p>
    <w:p w14:paraId="32402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eastAsia="zh-CN"/>
        </w:rPr>
        <w:t>（二）促进生产要素集聚。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聚集市场、资本、信息、人才等现代生产要素，推进农科教、产学研大联合大协作，配套组装和推广应用现有先进技术和装备，推动物联网、大数据等信息技术与农业深度融合，探索科技成果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转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化应用有效机制，充分发挥现代农业产业技术创新团队和创业平合作用，将产业园打造成为技术先进、金融支持有力、现代设施装备配套、信息化水平较高的现代技术和装备加速应用的集成区。</w:t>
      </w:r>
    </w:p>
    <w:p w14:paraId="6DB1D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eastAsia="zh-CN"/>
        </w:rPr>
        <w:t>(三）推进一二三产融合发展。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培育多元融合主体，发展多类型融合业态，构建种养有机结合，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集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生产、加工、收储、物流、销售、电商于一体的农业全产业链，充分挖掘农业生态价值、旅游休闲价值、文化价值，推动农业产业链、供应链、价值链重构和升级，将产业园打造成为一二三产业相互渗透、交叉重组的融合发展区。</w:t>
      </w:r>
    </w:p>
    <w:p w14:paraId="55935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eastAsia="zh-CN"/>
        </w:rPr>
        <w:t>(四）推进经营主体壮大和创业创新。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发展专业化家庭农场，规范农民合作社运营，扶持龙头企业率引、家庭农场和农民合作社跟进、小农户广泛参与的农业产业化联合体。推动土地碎片化互换、租赁、入股、托管等方式促进土地流转，实现适度规模经营。鼓励引导新型农业经营主体入园发展，支持返乡农民工、大学毕业生以及各类人才入园创业创新，将产业园打造成为新型农业经营主体和各类人才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双创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孵化区。</w:t>
      </w:r>
    </w:p>
    <w:p w14:paraId="56D2B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eastAsia="zh-CN"/>
        </w:rPr>
        <w:t>（五）提升农业质量效益和竞爭力。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推进品种培优、品质提升、品牌打造和标准化生产，全域推行农业生产“三品一标”，广泛开展绿色、有机、地理标志农产品认证，引领农业绿色发展，加强农产品质量安全监管，实行食用农产品承诺达标合格证与一品一码追湖并行制度，促进农业竞争力提升和农民收入增加，树立农业现代化建设的标杆，将产业园打造成为示范引领质量兴农、农业转型升级、提质增效、绿色发展的核心区。</w:t>
      </w:r>
    </w:p>
    <w:p w14:paraId="350A6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eastAsia="zh-CN"/>
        </w:rPr>
        <w:t>六）创新农业发展体制机制。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以完善农村产权制度与要素市场化配置为重点，加快激活主体、激活要素、激活市场，创新完善农业支持保护制度，引导资源要素更多向园区集聚。创新利益融合方式，引导新型农业经营主体与小农户（含脱贫户）建立土地流转、就业务工、带动生产、帮助产销对接、资产入股、收益分红等多种类型利益联结机制，让农民更多分享二三产业收益。</w:t>
      </w:r>
    </w:p>
    <w:p w14:paraId="19A3D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eastAsia="黑体" w:cs="Times New Roman"/>
          <w:sz w:val="32"/>
          <w:szCs w:val="32"/>
          <w:highlight w:val="none"/>
          <w:shd w:val="clear" w:color="auto" w:fill="auto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  <w:lang w:eastAsia="zh-CN"/>
        </w:rPr>
        <w:t>资金</w:t>
      </w:r>
      <w:r>
        <w:rPr>
          <w:rFonts w:hint="eastAsia" w:eastAsia="黑体" w:cs="Times New Roman"/>
          <w:sz w:val="32"/>
          <w:szCs w:val="32"/>
          <w:highlight w:val="none"/>
          <w:shd w:val="clear" w:color="auto" w:fill="auto"/>
          <w:lang w:eastAsia="zh-CN"/>
        </w:rPr>
        <w:t>安排与使用</w:t>
      </w:r>
    </w:p>
    <w:p w14:paraId="41E3D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资金安排与使用按照《泉州市市级特色现代农业发展资金管理规定》有关要求执行，资金管理规定有修订的，按修订后重新发布的规定执行。</w:t>
      </w:r>
    </w:p>
    <w:p w14:paraId="701D8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eastAsia="黑体" w:cs="Times New Roman"/>
          <w:sz w:val="32"/>
          <w:szCs w:val="32"/>
          <w:highlight w:val="none"/>
          <w:shd w:val="clear" w:color="auto" w:fill="auto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  <w:t>材料</w:t>
      </w:r>
      <w:r>
        <w:rPr>
          <w:rFonts w:hint="eastAsia" w:eastAsia="黑体" w:cs="Times New Roman"/>
          <w:sz w:val="32"/>
          <w:szCs w:val="32"/>
          <w:highlight w:val="none"/>
          <w:shd w:val="clear" w:color="auto" w:fill="auto"/>
          <w:lang w:eastAsia="zh-CN"/>
        </w:rPr>
        <w:t>要求</w:t>
      </w:r>
    </w:p>
    <w:p w14:paraId="055F7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（一）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县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级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农业农村局、财政局联合推荐文件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以县（市）党委、政府领导为组长的创建现代农业产业园工作协调小组文件。</w:t>
      </w:r>
    </w:p>
    <w:p w14:paraId="447C4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（二）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现代农业产业园创建方案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（模板详见附件）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、现代农业产业园项目建设和财政补助资金使用方案、产业园创建基本情况表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相关佐证材料。</w:t>
      </w:r>
    </w:p>
    <w:p w14:paraId="1E9D9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（三）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请各相关乡镇根据《2024年市级现代农业产业园申报指南》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中第二部分建设内容要求，策划生成2024年市级现代农业产园建设项目，填报《2024年市级现代农业产业园资金使用表》（附件2），并于5月31日前将《2024年市级现代农业产业园资金使用表》盖章扫描件报送县农业农村局（政务邮箱：nyncj@dehua.gov.cn），同时报送电子版。逾期视为无项目，将从产业创建乡镇删除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。</w:t>
      </w:r>
    </w:p>
    <w:p w14:paraId="75EED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eastAsia="zh-CN"/>
        </w:rPr>
      </w:pPr>
    </w:p>
    <w:p w14:paraId="57766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现代农业产业园创建方案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eastAsia="zh-CN"/>
        </w:rPr>
        <w:t>（供参考）</w:t>
      </w:r>
    </w:p>
    <w:p w14:paraId="6C7C70E5">
      <w:pPr>
        <w:keepNext w:val="0"/>
        <w:keepLines w:val="0"/>
        <w:pageBreakBefore w:val="0"/>
        <w:overflowPunct/>
        <w:topLinePunct w:val="0"/>
        <w:autoSpaceDE/>
        <w:bidi w:val="0"/>
        <w:spacing w:line="540" w:lineRule="exact"/>
        <w:rPr>
          <w:rFonts w:hint="eastAsia" w:ascii="Times New Roman" w:hAnsi="Times New Roman" w:eastAsia="黑体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shd w:val="clear" w:color="auto" w:fill="auto"/>
        </w:rPr>
        <w:br w:type="page"/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shd w:val="clear" w:color="auto" w:fill="auto"/>
          <w:lang w:eastAsia="zh-CN"/>
        </w:rPr>
        <w:t>附件</w:t>
      </w:r>
    </w:p>
    <w:p w14:paraId="5D6CA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4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highlight w:val="none"/>
          <w:shd w:val="clear" w:color="auto" w:fill="auto"/>
          <w:lang w:eastAsia="zh-CN"/>
        </w:rPr>
      </w:pPr>
    </w:p>
    <w:p w14:paraId="65E5E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  <w:t>现代农业产业园创建方案（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  <w:lang w:eastAsia="zh-CN"/>
        </w:rPr>
        <w:t>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  <w:t>参考）</w:t>
      </w:r>
    </w:p>
    <w:p w14:paraId="6A950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</w:pPr>
    </w:p>
    <w:p w14:paraId="4A95F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  <w:t>一、产业园概况</w:t>
      </w:r>
    </w:p>
    <w:p w14:paraId="08AD6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shd w:val="clear" w:color="auto" w:fill="auto"/>
        </w:rPr>
        <w:t>（一）基本情况</w:t>
      </w:r>
    </w:p>
    <w:p w14:paraId="019F8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1.产业园所在县基本情况。如：区位优势，周边交通情况，气候、温度，县域内农业人口数量等。</w:t>
      </w:r>
    </w:p>
    <w:p w14:paraId="3D100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2.园区基本情况。包括园区划定（创建乡镇一般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2—5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个左右）区域土地面积、区域内农业人口情况等。</w:t>
      </w:r>
    </w:p>
    <w:p w14:paraId="21F37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highlight w:val="none"/>
          <w:shd w:val="clear" w:color="auto" w:fill="auto"/>
        </w:rPr>
      </w:pPr>
      <w:r>
        <w:rPr>
          <w:rFonts w:hint="default" w:ascii="楷体" w:hAnsi="楷体" w:eastAsia="楷体" w:cs="楷体"/>
          <w:sz w:val="32"/>
          <w:szCs w:val="32"/>
          <w:highlight w:val="none"/>
          <w:shd w:val="clear" w:color="auto" w:fill="auto"/>
        </w:rPr>
        <w:t>（二）主导产业</w:t>
      </w:r>
    </w:p>
    <w:p w14:paraId="07D3A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1.主导产业的选择。主导产业选择1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2个，应明确到具体品种，不要笼统的写茶叶、水果、畜禽。</w:t>
      </w:r>
    </w:p>
    <w:p w14:paraId="06D6D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2.主导产业发展现状。包括创建区域产业规模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近几年产量、产值情况，以及占全县主导产业产量、产值情况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、发展水平（主导产业发展在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全市、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全省、全国的位置，区域公用品牌、产品品牌、企业品牌、知名商标等培育情况）、产业拓展情况（与上下游相关产业联动发展的情况，如产品包装、贸易物流、设备研发、休闲旅游等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绿色发展情况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建设质量安全可追溯体系、荣获的国家或省相关农产品质量安全方面的荣誉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带动农民和脱贫户（巩固拓展脱贫攻坚成果，建立利益联结机制建设情况，具体实例）、科技支撑情况（科技人员、与高等院校合作、位列全省全国前列的科技水平）、政策支撑（当地政府出台的支持主导产业发展政策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。主导产业发展面临的短板与问题。附上《现代农业产业园建设基本情况表》。</w:t>
      </w:r>
    </w:p>
    <w:p w14:paraId="323C9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  <w:t>二、规划布局</w:t>
      </w:r>
    </w:p>
    <w:p w14:paraId="452F6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楷体" w:hAnsi="楷体" w:eastAsia="楷体" w:cs="楷体"/>
          <w:sz w:val="32"/>
          <w:szCs w:val="32"/>
          <w:highlight w:val="none"/>
          <w:shd w:val="clear" w:color="auto" w:fill="auto"/>
        </w:rPr>
        <w:t>（一）总体空间布局。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依据园内资源禀赋优势、空间地理特征，在功能方面形成空间布局（附布局图）。</w:t>
      </w:r>
    </w:p>
    <w:p w14:paraId="34D04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楷体" w:hAnsi="楷体" w:eastAsia="楷体" w:cs="楷体"/>
          <w:sz w:val="32"/>
          <w:szCs w:val="32"/>
          <w:highlight w:val="none"/>
          <w:shd w:val="clear" w:color="auto" w:fill="auto"/>
        </w:rPr>
        <w:t>（二）各功能区定位。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根据总体空间布局，明确各功能板块的组成乡镇，在整个产业园中承担的主要功能，如原料生产功能、加工功能、销售功能、科技支撑等。</w:t>
      </w:r>
    </w:p>
    <w:p w14:paraId="1F91A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  <w:t>三、发展目标</w:t>
      </w:r>
    </w:p>
    <w:p w14:paraId="14884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经过2年创建，主导产业发展到什么水平，包括产量产值、加工能力提升、冷链物流与电子商务、休闲农业等新业态发展、“三品一标”认证、经营主体培育、农民增收等方面目标。巩固拓展脱贫攻坚成果衔接推进乡村振兴方面的目标要突出体现（促进县域产业协调发展，壮大脱贫村集体经济，建立利益联结机制，园区内脱贫人口收入增幅原则上高于当地农民平均水平）。</w:t>
      </w:r>
    </w:p>
    <w:p w14:paraId="2342E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  <w:t>四、建设任务</w:t>
      </w:r>
    </w:p>
    <w:p w14:paraId="73ED7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围绕发展目标和补短板需要，明确几项具体的建设任务。如，打造高标准核心示范基地、补齐农产品加工短板、促进三产融合发展、提升品牌影响力、强化科技支撑、培育经营主体（包括联农带农机制）等。</w:t>
      </w:r>
    </w:p>
    <w:p w14:paraId="2415A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  <w:t>五、重点项目</w:t>
      </w:r>
    </w:p>
    <w:p w14:paraId="559A7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介绍主要建设项目、实施主体、建设内容、资金测算和使用方向等方面，并通过表格形式列出项目名称、建设内容、投资额、建设周期、责任单位、实施主体等。明确重点项目名称、建设地点、建设内容、实施主体、资金测算和使用方向等方面，并通过《XX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X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县现代农业产业园重点建设项目汇总表》和《XX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X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县现代农业产业园资金筹措表》体现。</w:t>
      </w:r>
    </w:p>
    <w:p w14:paraId="5831E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  <w:t>六、支持保障措施</w:t>
      </w:r>
    </w:p>
    <w:p w14:paraId="60D11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主要包括加强组织领导、加大政策扶持、强化资金监管、加强宣传推介等。</w:t>
      </w:r>
    </w:p>
    <w:p w14:paraId="48C8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  <w:t>七、相关要求</w:t>
      </w:r>
    </w:p>
    <w:p w14:paraId="53978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（一）在安排补助资金时要注意：遵循“姓农、务农、为农、兴农”的创建宗旨，突出巩固拓展脱贫攻坚成果，增强脱贫村集体经济实力，带动脱贫户、边缘户及低收入农户增加收入。</w:t>
      </w:r>
    </w:p>
    <w:p w14:paraId="1B361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（二）建设项目应位于创建区域内，并与主导产业全产业链发展直接相关。</w:t>
      </w:r>
    </w:p>
    <w:p w14:paraId="6944F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（三）用于园区必要的产业配套基础设施建设的资金投入原则上不超过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补助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资金总量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%。</w:t>
      </w:r>
    </w:p>
    <w:p w14:paraId="00B58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（四）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农业经营主体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财政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补助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资金占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投资总额的比例原则上不超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50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%。</w:t>
      </w:r>
    </w:p>
    <w:p w14:paraId="4AB5B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（五）不得用于与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产业发展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无关的支出，包括：单位基本支出、交通工具及通讯设备、修建楼堂馆所、各种奖金津贴和福利补助、偿还债务和垫资等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。</w:t>
      </w:r>
    </w:p>
    <w:p w14:paraId="2AAA7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（六）财政补助资金不与中央或省级其他财政资金交叉重复。</w:t>
      </w:r>
    </w:p>
    <w:p w14:paraId="372A1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7A9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  <w:highlight w:val="none"/>
          <w:shd w:val="clear" w:color="auto" w:fill="auto"/>
          <w:lang w:val="en-US" w:eastAsia="zh-CN"/>
        </w:rPr>
        <w:t>附件2</w:t>
      </w:r>
    </w:p>
    <w:p w14:paraId="3F643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  <w:lang w:val="en-US" w:eastAsia="zh-CN"/>
        </w:rPr>
        <w:t>2024年市级现代农业产业园资金使用表</w:t>
      </w:r>
    </w:p>
    <w:p w14:paraId="37166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填报单位（盖章）：                                                    时间： 年   月   日</w:t>
      </w:r>
    </w:p>
    <w:tbl>
      <w:tblPr>
        <w:tblStyle w:val="2"/>
        <w:tblW w:w="14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85"/>
        <w:gridCol w:w="1335"/>
        <w:gridCol w:w="1080"/>
        <w:gridCol w:w="3030"/>
        <w:gridCol w:w="2715"/>
        <w:gridCol w:w="869"/>
        <w:gridCol w:w="1483"/>
        <w:gridCol w:w="888"/>
        <w:gridCol w:w="1080"/>
      </w:tblGrid>
      <w:tr w14:paraId="5C099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9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F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建设项目名称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1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建设承担主体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2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E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E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市级财政补助资金建设内容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A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8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E2C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1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4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6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D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A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5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1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2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市级财政补助资金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F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自筹资金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7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DF5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3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F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3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D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7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3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D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A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5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0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CD4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5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2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7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B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B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E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1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8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8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B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5D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6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5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1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0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F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A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C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4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B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0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2E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E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D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B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5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F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7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E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5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C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E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545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E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9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B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2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B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E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2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9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8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8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4BA8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 w:color="auto" w:fill="auto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ZjhhY2FkNjA0YjkzOWYzZTYxMDEwOWJhNDEyMDAifQ=="/>
  </w:docVars>
  <w:rsids>
    <w:rsidRoot w:val="0ABA581B"/>
    <w:rsid w:val="0ABA581B"/>
    <w:rsid w:val="120E683A"/>
    <w:rsid w:val="20D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3539</Words>
  <Characters>3578</Characters>
  <Lines>0</Lines>
  <Paragraphs>0</Paragraphs>
  <TotalTime>8</TotalTime>
  <ScaleCrop>false</ScaleCrop>
  <LinksUpToDate>false</LinksUpToDate>
  <CharactersWithSpaces>3637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2024-05-24T09:49:00Z</dcterms:created>
  <dc:creator>楂楂</dc:creator>
  <cp:lastModifiedBy>楂楂</cp:lastModifiedBy>
  <dcterms:modified xsi:type="dcterms:W3CDTF">2024-08-07T10:45:59Z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8CD606C3037E4C989D320D1F06FD884A_13</vt:lpwstr>
  </property>
</Properties>
</file>