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" w:hAnsi="仿宋" w:eastAsia="仿宋_GB2312"/>
          <w:sz w:val="32"/>
        </w:rPr>
      </w:pPr>
    </w:p>
    <w:p>
      <w:pPr>
        <w:spacing w:before="360"/>
        <w:rPr>
          <w:rFonts w:ascii="仿宋" w:hAnsi="仿宋" w:eastAsia="仿宋_GB2312"/>
          <w:sz w:val="32"/>
        </w:rPr>
      </w:pPr>
    </w:p>
    <w:p>
      <w:pPr>
        <w:spacing w:before="360"/>
        <w:rPr>
          <w:rFonts w:ascii="仿宋" w:hAnsi="仿宋" w:eastAsia="仿宋_GB2312"/>
          <w:sz w:val="32"/>
        </w:rPr>
      </w:pPr>
    </w:p>
    <w:p>
      <w:pPr>
        <w:spacing w:before="360"/>
        <w:rPr>
          <w:rFonts w:ascii="仿宋" w:hAnsi="仿宋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仿宋" w:hAnsi="仿宋" w:eastAsia="仿宋_GB2312"/>
          <w:sz w:val="32"/>
        </w:rPr>
      </w:pPr>
    </w:p>
    <w:p>
      <w:pPr>
        <w:spacing w:line="500" w:lineRule="exact"/>
        <w:jc w:val="center"/>
        <w:rPr>
          <w:rFonts w:ascii="仿宋" w:hAnsi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cs="宋体"/>
          <w:b/>
          <w:bCs/>
          <w:kern w:val="0"/>
          <w:sz w:val="36"/>
          <w:szCs w:val="36"/>
        </w:rPr>
        <w:t>德化县发展和改革局关于申请转报</w:t>
      </w:r>
      <w:r>
        <w:rPr>
          <w:rFonts w:hint="eastAsia" w:ascii="仿宋" w:hAnsi="仿宋" w:eastAsia="宋体" w:cs="宋体"/>
          <w:b/>
          <w:bCs/>
          <w:kern w:val="0"/>
          <w:sz w:val="36"/>
          <w:szCs w:val="36"/>
          <w:lang w:val="en-US" w:eastAsia="zh-CN"/>
        </w:rPr>
        <w:t>德化红旗坊·文旅产业园区PPP项目高压供电（外线部分）</w:t>
      </w:r>
      <w:r>
        <w:rPr>
          <w:rFonts w:hint="eastAsia" w:ascii="仿宋" w:hAnsi="仿宋" w:cs="宋体"/>
          <w:b/>
          <w:bCs/>
          <w:kern w:val="0"/>
          <w:sz w:val="36"/>
          <w:szCs w:val="36"/>
        </w:rPr>
        <w:t>可行性研究报告</w:t>
      </w:r>
      <w:r>
        <w:rPr>
          <w:rFonts w:hint="eastAsia" w:ascii="仿宋" w:hAnsi="仿宋" w:cs="宋体"/>
          <w:b/>
          <w:bCs/>
          <w:kern w:val="0"/>
          <w:sz w:val="36"/>
          <w:szCs w:val="36"/>
          <w:lang w:eastAsia="zh-CN"/>
        </w:rPr>
        <w:t>暨初步设计</w:t>
      </w:r>
      <w:r>
        <w:rPr>
          <w:rFonts w:ascii="仿宋" w:hAnsi="仿宋" w:cs="宋体"/>
          <w:b/>
          <w:bCs/>
          <w:kern w:val="0"/>
          <w:sz w:val="36"/>
          <w:szCs w:val="36"/>
        </w:rPr>
        <w:t>的请示</w:t>
      </w:r>
    </w:p>
    <w:p>
      <w:pPr>
        <w:spacing w:line="440" w:lineRule="exact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泉州市发展和改革委员会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为推动德化县文旅产业的深度融合，提升德化县的文旅产业竞争力，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拟由</w:t>
      </w:r>
      <w:r>
        <w:rPr>
          <w:rFonts w:hint="eastAsia" w:ascii="仿宋" w:hAnsi="仿宋" w:eastAsia="仿宋_GB2312"/>
          <w:sz w:val="32"/>
          <w:lang w:val="en-US" w:eastAsia="zh-CN"/>
        </w:rPr>
        <w:t>德化文旅集团有限公司投资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建设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德化红旗坊·文旅产业园区PPP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高压供电（外线部分）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，该项目可行性研究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暨初步设计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已由福建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亿兴电力设计院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有限公司编制完成并经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政府投资项目评审中心评估通过，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现向</w:t>
      </w:r>
      <w:r>
        <w:rPr>
          <w:rFonts w:hint="eastAsia" w:ascii="仿宋" w:hAnsi="仿宋" w:eastAsia="仿宋"/>
          <w:sz w:val="32"/>
          <w:szCs w:val="32"/>
        </w:rPr>
        <w:t>钧委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申请转报该项目可行性研究报告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暨初步设计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。有关情况如下：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一、项目名称：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德化红旗坊·文旅产业园区PPP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高压供电（外线部分）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二、项目建设地点：</w:t>
      </w:r>
      <w:r>
        <w:rPr>
          <w:rFonts w:hint="eastAsia" w:ascii="仿宋" w:hAnsi="仿宋" w:eastAsia="仿宋_GB2312"/>
          <w:sz w:val="32"/>
          <w:lang w:val="en-US" w:eastAsia="zh-CN"/>
        </w:rPr>
        <w:t>德化县龙浔镇宝美村至德化县三班镇市政大道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_GB2312" w:cs="Times New Roman"/>
          <w:sz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三、项目建设规模与主要建设内容：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1.工程第一路电源从110kV上寮变10kVI段母线10kV备用十七910开关柜至红旗坊开闭所10kVI段电源进线1柜1KH01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计敷设ZCYJV22-8.7/15kV-3*400mm2高压电缆6.976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千米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。2.工程第二路电源从10kV瓷宝Ⅱ回619线#038杆至红旗坊开闭所10kVI段1柜2KH01，计敷设ZCYJV22-8.7/15kV-3*400mm2高压电缆 0.963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千米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。3.新安装一二次融合成套环网箱(AC10kV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1进，1出，带计量，采用环保气体绝缘环网开关柜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电动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有自动化接口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进出线断路器)1台。4.新建 2ф150-14 电缆管沟 9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米，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2ф100-14 电缆管沟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4米，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4中150-14电缆管沟5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米，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6中150-14 电缆管沟335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米，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12中150-14电缆管沟4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米，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14中150-14顶管34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米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。管沟路径总计387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米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，新建A型电力井10座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新建B型电力井5座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，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>工作井总计15座。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四、建设性质：新建。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五、建设单位：</w:t>
      </w:r>
      <w:r>
        <w:rPr>
          <w:rFonts w:hint="eastAsia" w:ascii="仿宋" w:hAnsi="仿宋" w:eastAsia="仿宋_GB2312"/>
          <w:sz w:val="32"/>
          <w:lang w:val="en-US" w:eastAsia="zh-CN"/>
        </w:rPr>
        <w:t>德化文旅集团有限公司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六、建设期限：施工工期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个月。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center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七、项目</w:t>
      </w:r>
      <w:r>
        <w:rPr>
          <w:rFonts w:hint="eastAsia" w:ascii="仿宋" w:hAnsi="仿宋" w:eastAsia="仿宋" w:cs="宋体"/>
          <w:kern w:val="2"/>
          <w:sz w:val="32"/>
          <w:szCs w:val="32"/>
        </w:rPr>
        <w:t>编码：</w:t>
      </w:r>
      <w:r>
        <w:rPr>
          <w:rFonts w:hint="eastAsia" w:ascii="仿宋" w:hAnsi="仿宋" w:eastAsia="仿宋_GB2312" w:cs="仿宋_GB2312"/>
          <w:color w:val="000000"/>
          <w:sz w:val="32"/>
          <w:szCs w:val="32"/>
        </w:rPr>
        <w:t>2408-350500-04-01-590894</w:t>
      </w:r>
      <w:r>
        <w:rPr>
          <w:rFonts w:hint="eastAsia" w:ascii="仿宋" w:hAnsi="仿宋" w:eastAsia="仿宋" w:cs="宋体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八、项目总投资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及资金来源：</w:t>
      </w:r>
      <w:r>
        <w:rPr>
          <w:rFonts w:hint="eastAsia" w:ascii="仿宋" w:hAnsi="仿宋" w:eastAsia="仿宋_GB2312"/>
          <w:sz w:val="32"/>
          <w:szCs w:val="32"/>
        </w:rPr>
        <w:t>项目</w:t>
      </w:r>
      <w:r>
        <w:rPr>
          <w:rFonts w:hint="eastAsia" w:ascii="仿宋" w:hAnsi="仿宋" w:eastAsia="仿宋_GB2312"/>
          <w:sz w:val="32"/>
          <w:szCs w:val="32"/>
          <w:lang w:eastAsia="zh-CN"/>
        </w:rPr>
        <w:t>概算</w:t>
      </w:r>
      <w:r>
        <w:rPr>
          <w:rFonts w:hint="eastAsia" w:ascii="仿宋" w:hAnsi="仿宋" w:eastAsia="仿宋_GB2312"/>
          <w:sz w:val="32"/>
          <w:szCs w:val="32"/>
        </w:rPr>
        <w:t>总投资为</w:t>
      </w:r>
      <w:r>
        <w:rPr>
          <w:rFonts w:hint="eastAsia" w:ascii="仿宋" w:hAnsi="仿宋" w:eastAsia="仿宋_GB2312"/>
          <w:sz w:val="32"/>
          <w:szCs w:val="32"/>
          <w:lang w:val="en-US" w:eastAsia="zh-CN"/>
        </w:rPr>
        <w:t>1706.1885</w:t>
      </w:r>
      <w:r>
        <w:rPr>
          <w:rFonts w:hint="eastAsia" w:ascii="仿宋" w:hAnsi="仿宋" w:eastAsia="仿宋_GB2312"/>
          <w:sz w:val="32"/>
          <w:szCs w:val="32"/>
        </w:rPr>
        <w:t>万元，其中工程费用</w:t>
      </w:r>
      <w:r>
        <w:rPr>
          <w:rFonts w:hint="eastAsia" w:ascii="仿宋" w:hAnsi="仿宋" w:eastAsia="仿宋_GB2312"/>
          <w:sz w:val="32"/>
          <w:szCs w:val="32"/>
          <w:lang w:val="en-US" w:eastAsia="zh-CN"/>
        </w:rPr>
        <w:t>1430.9216</w:t>
      </w:r>
      <w:r>
        <w:rPr>
          <w:rFonts w:hint="eastAsia" w:ascii="仿宋" w:hAnsi="仿宋" w:eastAsia="仿宋_GB2312"/>
          <w:sz w:val="32"/>
          <w:szCs w:val="32"/>
        </w:rPr>
        <w:t>万元</w:t>
      </w:r>
      <w:r>
        <w:rPr>
          <w:rFonts w:hint="eastAsia" w:ascii="仿宋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_GB2312"/>
          <w:sz w:val="32"/>
          <w:szCs w:val="32"/>
        </w:rPr>
        <w:t>工程建设其</w:t>
      </w:r>
      <w:r>
        <w:rPr>
          <w:rFonts w:hint="eastAsia" w:ascii="仿宋" w:hAnsi="仿宋" w:eastAsia="仿宋_GB2312"/>
          <w:sz w:val="32"/>
          <w:szCs w:val="32"/>
          <w:lang w:eastAsia="zh-CN"/>
        </w:rPr>
        <w:t>他</w:t>
      </w:r>
      <w:r>
        <w:rPr>
          <w:rFonts w:hint="eastAsia" w:ascii="仿宋" w:hAnsi="仿宋" w:eastAsia="仿宋_GB2312"/>
          <w:sz w:val="32"/>
          <w:szCs w:val="32"/>
        </w:rPr>
        <w:t>费用</w:t>
      </w:r>
      <w:r>
        <w:rPr>
          <w:rFonts w:hint="eastAsia" w:ascii="仿宋" w:hAnsi="仿宋" w:eastAsia="仿宋_GB2312"/>
          <w:sz w:val="32"/>
          <w:szCs w:val="32"/>
          <w:lang w:val="en-US" w:eastAsia="zh-CN"/>
        </w:rPr>
        <w:t>194.0198</w:t>
      </w:r>
      <w:r>
        <w:rPr>
          <w:rFonts w:hint="eastAsia" w:ascii="仿宋" w:hAnsi="仿宋" w:eastAsia="仿宋_GB2312"/>
          <w:sz w:val="32"/>
          <w:szCs w:val="32"/>
        </w:rPr>
        <w:t>万元</w:t>
      </w:r>
      <w:r>
        <w:rPr>
          <w:rFonts w:hint="eastAsia" w:ascii="仿宋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_GB2312"/>
          <w:sz w:val="32"/>
          <w:szCs w:val="32"/>
        </w:rPr>
        <w:t>基本预备费</w:t>
      </w:r>
      <w:r>
        <w:rPr>
          <w:rFonts w:hint="eastAsia" w:ascii="仿宋" w:hAnsi="仿宋" w:eastAsia="仿宋_GB2312"/>
          <w:sz w:val="32"/>
          <w:szCs w:val="32"/>
          <w:lang w:val="en-US" w:eastAsia="zh-CN"/>
        </w:rPr>
        <w:t>81.2471</w:t>
      </w:r>
      <w:r>
        <w:rPr>
          <w:rFonts w:hint="eastAsia" w:ascii="仿宋" w:hAnsi="仿宋" w:eastAsia="仿宋_GB2312"/>
          <w:sz w:val="32"/>
          <w:szCs w:val="32"/>
        </w:rPr>
        <w:t>万元</w:t>
      </w:r>
      <w:r>
        <w:rPr>
          <w:rFonts w:hint="eastAsia" w:ascii="仿宋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妥否，恳请钧委给予审查批复。</w:t>
      </w:r>
    </w:p>
    <w:p>
      <w:pPr>
        <w:keepNext w:val="0"/>
        <w:keepLines w:val="0"/>
        <w:pageBreakBefore w:val="0"/>
        <w:tabs>
          <w:tab w:val="left" w:pos="3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584" w:leftChars="297" w:hanging="960" w:hanging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附件: 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德化红旗坊·文旅产业园区PPP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_GB2312" w:cs="仿宋_GB2312"/>
          <w:b w:val="0"/>
          <w:bCs w:val="0"/>
          <w:sz w:val="32"/>
          <w:szCs w:val="32"/>
          <w:lang w:val="en-US" w:eastAsia="zh-CN"/>
        </w:rPr>
        <w:t>高压供电（外线部分）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可行性研究报告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暨初步设计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联系人：</w:t>
      </w:r>
      <w:r>
        <w:rPr>
          <w:rFonts w:hint="eastAsia" w:ascii="仿宋" w:hAnsi="仿宋" w:eastAsia="仿宋_GB2312"/>
          <w:sz w:val="32"/>
          <w:szCs w:val="32"/>
          <w:lang w:val="en-US" w:eastAsia="zh-CN"/>
        </w:rPr>
        <w:t>许瑞福</w:t>
      </w:r>
      <w:r>
        <w:rPr>
          <w:rFonts w:hint="eastAsia" w:ascii="仿宋" w:hAnsi="仿宋" w:eastAsia="仿宋" w:cs="宋体"/>
          <w:sz w:val="32"/>
          <w:szCs w:val="32"/>
        </w:rPr>
        <w:t>，电话</w:t>
      </w:r>
      <w:r>
        <w:rPr>
          <w:rFonts w:hint="eastAsia" w:ascii="仿宋" w:hAnsi="仿宋" w:eastAsia="仿宋_GB2312"/>
          <w:sz w:val="32"/>
          <w:szCs w:val="32"/>
          <w:lang w:val="en-US" w:eastAsia="zh-CN"/>
        </w:rPr>
        <w:t>15880809300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20" w:firstLine="5564" w:firstLineChars="1739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20" w:firstLine="5564" w:firstLineChars="1739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20"/>
        <w:jc w:val="left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0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抄送：县政府办、自然资源局、林业局、水利局、住建局、交通局、统计局，存档。</w:t>
            </w:r>
          </w:p>
        </w:tc>
      </w:tr>
    </w:tbl>
    <w:p>
      <w:pPr>
        <w:spacing w:line="20" w:lineRule="exact"/>
        <w:jc w:val="center"/>
        <w:rPr>
          <w:rFonts w:ascii="仿宋" w:hAnsi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07B2"/>
    <w:rsid w:val="00001980"/>
    <w:rsid w:val="000037F5"/>
    <w:rsid w:val="00004DB7"/>
    <w:rsid w:val="00006946"/>
    <w:rsid w:val="000151B3"/>
    <w:rsid w:val="00017C8E"/>
    <w:rsid w:val="00020A94"/>
    <w:rsid w:val="00025400"/>
    <w:rsid w:val="00027E45"/>
    <w:rsid w:val="00037391"/>
    <w:rsid w:val="00050C7C"/>
    <w:rsid w:val="00052090"/>
    <w:rsid w:val="000717F9"/>
    <w:rsid w:val="0007385B"/>
    <w:rsid w:val="00075759"/>
    <w:rsid w:val="00077FCF"/>
    <w:rsid w:val="0008056F"/>
    <w:rsid w:val="00080C06"/>
    <w:rsid w:val="00092631"/>
    <w:rsid w:val="00097927"/>
    <w:rsid w:val="000A0163"/>
    <w:rsid w:val="000A3926"/>
    <w:rsid w:val="000B4E40"/>
    <w:rsid w:val="000D0D62"/>
    <w:rsid w:val="000D6132"/>
    <w:rsid w:val="000E05AE"/>
    <w:rsid w:val="000F7842"/>
    <w:rsid w:val="00100833"/>
    <w:rsid w:val="00101ADE"/>
    <w:rsid w:val="0010368A"/>
    <w:rsid w:val="00106D25"/>
    <w:rsid w:val="00121064"/>
    <w:rsid w:val="00122A87"/>
    <w:rsid w:val="001334DB"/>
    <w:rsid w:val="00140392"/>
    <w:rsid w:val="00153A7E"/>
    <w:rsid w:val="0016572F"/>
    <w:rsid w:val="001700FD"/>
    <w:rsid w:val="001705FE"/>
    <w:rsid w:val="00182EAD"/>
    <w:rsid w:val="0019089C"/>
    <w:rsid w:val="00190CD7"/>
    <w:rsid w:val="00191311"/>
    <w:rsid w:val="001A09C4"/>
    <w:rsid w:val="001C4F47"/>
    <w:rsid w:val="001E19AD"/>
    <w:rsid w:val="001E6694"/>
    <w:rsid w:val="001F6AE6"/>
    <w:rsid w:val="00203C29"/>
    <w:rsid w:val="00204151"/>
    <w:rsid w:val="002049B6"/>
    <w:rsid w:val="00213196"/>
    <w:rsid w:val="002133AA"/>
    <w:rsid w:val="0022094E"/>
    <w:rsid w:val="00222C84"/>
    <w:rsid w:val="002315EA"/>
    <w:rsid w:val="00235282"/>
    <w:rsid w:val="00237FA3"/>
    <w:rsid w:val="002437FC"/>
    <w:rsid w:val="0025372E"/>
    <w:rsid w:val="002557F4"/>
    <w:rsid w:val="00260679"/>
    <w:rsid w:val="00261368"/>
    <w:rsid w:val="00263C22"/>
    <w:rsid w:val="00264602"/>
    <w:rsid w:val="0026722A"/>
    <w:rsid w:val="002712B4"/>
    <w:rsid w:val="00274F95"/>
    <w:rsid w:val="002757A6"/>
    <w:rsid w:val="00276F6C"/>
    <w:rsid w:val="0028075B"/>
    <w:rsid w:val="00291875"/>
    <w:rsid w:val="002A3276"/>
    <w:rsid w:val="002A3368"/>
    <w:rsid w:val="002A3769"/>
    <w:rsid w:val="002B0C80"/>
    <w:rsid w:val="002B101E"/>
    <w:rsid w:val="002B1F65"/>
    <w:rsid w:val="002B2DE9"/>
    <w:rsid w:val="002B669E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6432"/>
    <w:rsid w:val="00307D2B"/>
    <w:rsid w:val="00311960"/>
    <w:rsid w:val="0031362B"/>
    <w:rsid w:val="0031450D"/>
    <w:rsid w:val="00327EA8"/>
    <w:rsid w:val="0033452A"/>
    <w:rsid w:val="00334F7B"/>
    <w:rsid w:val="00337C5E"/>
    <w:rsid w:val="0034738F"/>
    <w:rsid w:val="00360AE7"/>
    <w:rsid w:val="00361CB5"/>
    <w:rsid w:val="00362AA6"/>
    <w:rsid w:val="00362BDD"/>
    <w:rsid w:val="0036392E"/>
    <w:rsid w:val="0036460F"/>
    <w:rsid w:val="00370E4F"/>
    <w:rsid w:val="00375089"/>
    <w:rsid w:val="0038122D"/>
    <w:rsid w:val="003820B8"/>
    <w:rsid w:val="00384E35"/>
    <w:rsid w:val="0038565A"/>
    <w:rsid w:val="00385BF6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068C"/>
    <w:rsid w:val="003D27B0"/>
    <w:rsid w:val="003D2CBE"/>
    <w:rsid w:val="003D4C24"/>
    <w:rsid w:val="003D6DBF"/>
    <w:rsid w:val="003D7313"/>
    <w:rsid w:val="003D7B34"/>
    <w:rsid w:val="003E3937"/>
    <w:rsid w:val="003E422A"/>
    <w:rsid w:val="003F08D2"/>
    <w:rsid w:val="003F1012"/>
    <w:rsid w:val="0040267D"/>
    <w:rsid w:val="0040535B"/>
    <w:rsid w:val="00406C1D"/>
    <w:rsid w:val="004151C2"/>
    <w:rsid w:val="004206CF"/>
    <w:rsid w:val="00420BFD"/>
    <w:rsid w:val="0042295C"/>
    <w:rsid w:val="004256CD"/>
    <w:rsid w:val="00432627"/>
    <w:rsid w:val="004431AE"/>
    <w:rsid w:val="00450BA9"/>
    <w:rsid w:val="00452210"/>
    <w:rsid w:val="0045567B"/>
    <w:rsid w:val="00455BBC"/>
    <w:rsid w:val="004561C4"/>
    <w:rsid w:val="0045739B"/>
    <w:rsid w:val="00463803"/>
    <w:rsid w:val="00467515"/>
    <w:rsid w:val="00473C33"/>
    <w:rsid w:val="004742B2"/>
    <w:rsid w:val="0047736A"/>
    <w:rsid w:val="004801E8"/>
    <w:rsid w:val="00490781"/>
    <w:rsid w:val="00492B29"/>
    <w:rsid w:val="00493C50"/>
    <w:rsid w:val="0049525C"/>
    <w:rsid w:val="004A47A8"/>
    <w:rsid w:val="004B5E88"/>
    <w:rsid w:val="004B7297"/>
    <w:rsid w:val="004D2A9C"/>
    <w:rsid w:val="004E0EF7"/>
    <w:rsid w:val="004E1550"/>
    <w:rsid w:val="004E4397"/>
    <w:rsid w:val="004E7D07"/>
    <w:rsid w:val="004F00D6"/>
    <w:rsid w:val="004F4926"/>
    <w:rsid w:val="004F5FF7"/>
    <w:rsid w:val="00504279"/>
    <w:rsid w:val="005064B7"/>
    <w:rsid w:val="00515BE0"/>
    <w:rsid w:val="00517C76"/>
    <w:rsid w:val="00520AB1"/>
    <w:rsid w:val="005224A2"/>
    <w:rsid w:val="0052371B"/>
    <w:rsid w:val="00523907"/>
    <w:rsid w:val="00541AAD"/>
    <w:rsid w:val="00543A78"/>
    <w:rsid w:val="00544060"/>
    <w:rsid w:val="00544C95"/>
    <w:rsid w:val="00556D7C"/>
    <w:rsid w:val="00557A61"/>
    <w:rsid w:val="00570DC1"/>
    <w:rsid w:val="00571086"/>
    <w:rsid w:val="00581EC1"/>
    <w:rsid w:val="0058300A"/>
    <w:rsid w:val="00587C32"/>
    <w:rsid w:val="00590BED"/>
    <w:rsid w:val="005A5F14"/>
    <w:rsid w:val="005B0802"/>
    <w:rsid w:val="005B208E"/>
    <w:rsid w:val="005C23E3"/>
    <w:rsid w:val="005C4344"/>
    <w:rsid w:val="005D0B6C"/>
    <w:rsid w:val="005D46B0"/>
    <w:rsid w:val="005D550C"/>
    <w:rsid w:val="005E2AE7"/>
    <w:rsid w:val="006218FF"/>
    <w:rsid w:val="006222D3"/>
    <w:rsid w:val="006259B2"/>
    <w:rsid w:val="00627893"/>
    <w:rsid w:val="0063062D"/>
    <w:rsid w:val="00635DE7"/>
    <w:rsid w:val="00642E44"/>
    <w:rsid w:val="00645E02"/>
    <w:rsid w:val="00646288"/>
    <w:rsid w:val="00651947"/>
    <w:rsid w:val="00651D75"/>
    <w:rsid w:val="006540B1"/>
    <w:rsid w:val="00671BED"/>
    <w:rsid w:val="00672696"/>
    <w:rsid w:val="00686451"/>
    <w:rsid w:val="00697777"/>
    <w:rsid w:val="006A670E"/>
    <w:rsid w:val="006A6AAC"/>
    <w:rsid w:val="006B1257"/>
    <w:rsid w:val="006B4040"/>
    <w:rsid w:val="006B4E4F"/>
    <w:rsid w:val="006B6C11"/>
    <w:rsid w:val="006C41F9"/>
    <w:rsid w:val="006C4ABF"/>
    <w:rsid w:val="006C4E7A"/>
    <w:rsid w:val="006D373F"/>
    <w:rsid w:val="006D4E2C"/>
    <w:rsid w:val="006D56DB"/>
    <w:rsid w:val="006E2627"/>
    <w:rsid w:val="006F4781"/>
    <w:rsid w:val="006F6E2B"/>
    <w:rsid w:val="00702A13"/>
    <w:rsid w:val="00710448"/>
    <w:rsid w:val="00715049"/>
    <w:rsid w:val="00720710"/>
    <w:rsid w:val="007279FF"/>
    <w:rsid w:val="00731301"/>
    <w:rsid w:val="00735FCC"/>
    <w:rsid w:val="00737B8D"/>
    <w:rsid w:val="00742FAF"/>
    <w:rsid w:val="0074570A"/>
    <w:rsid w:val="007466F6"/>
    <w:rsid w:val="007477BB"/>
    <w:rsid w:val="00747E51"/>
    <w:rsid w:val="007504AF"/>
    <w:rsid w:val="00751887"/>
    <w:rsid w:val="007531D2"/>
    <w:rsid w:val="007538D2"/>
    <w:rsid w:val="007605CC"/>
    <w:rsid w:val="007612A7"/>
    <w:rsid w:val="0076146B"/>
    <w:rsid w:val="00761F55"/>
    <w:rsid w:val="00764C20"/>
    <w:rsid w:val="007669B2"/>
    <w:rsid w:val="0077119D"/>
    <w:rsid w:val="0077658E"/>
    <w:rsid w:val="00777F32"/>
    <w:rsid w:val="00785CC1"/>
    <w:rsid w:val="00787B77"/>
    <w:rsid w:val="0079347D"/>
    <w:rsid w:val="0079556E"/>
    <w:rsid w:val="0079599A"/>
    <w:rsid w:val="007961B4"/>
    <w:rsid w:val="007A0C5A"/>
    <w:rsid w:val="007A5856"/>
    <w:rsid w:val="007B1E37"/>
    <w:rsid w:val="007B5FA4"/>
    <w:rsid w:val="007C0960"/>
    <w:rsid w:val="007C3B47"/>
    <w:rsid w:val="007E34D8"/>
    <w:rsid w:val="007E68F7"/>
    <w:rsid w:val="007F0438"/>
    <w:rsid w:val="007F0E4E"/>
    <w:rsid w:val="007F4997"/>
    <w:rsid w:val="008038CF"/>
    <w:rsid w:val="008123B9"/>
    <w:rsid w:val="008224FA"/>
    <w:rsid w:val="00830AC6"/>
    <w:rsid w:val="00831C22"/>
    <w:rsid w:val="00834534"/>
    <w:rsid w:val="00835A14"/>
    <w:rsid w:val="008413DC"/>
    <w:rsid w:val="00843A4E"/>
    <w:rsid w:val="00857DB1"/>
    <w:rsid w:val="00874467"/>
    <w:rsid w:val="0087561A"/>
    <w:rsid w:val="00876CC5"/>
    <w:rsid w:val="00877071"/>
    <w:rsid w:val="00885EF0"/>
    <w:rsid w:val="008A20E5"/>
    <w:rsid w:val="008A25BA"/>
    <w:rsid w:val="008A2AA6"/>
    <w:rsid w:val="008A3DAA"/>
    <w:rsid w:val="008A4FE8"/>
    <w:rsid w:val="008A53E0"/>
    <w:rsid w:val="008B3196"/>
    <w:rsid w:val="008B3FF7"/>
    <w:rsid w:val="008B6B6A"/>
    <w:rsid w:val="008C4102"/>
    <w:rsid w:val="008D0CA4"/>
    <w:rsid w:val="008D0CBB"/>
    <w:rsid w:val="008D4535"/>
    <w:rsid w:val="008D5570"/>
    <w:rsid w:val="008D7968"/>
    <w:rsid w:val="008D7F65"/>
    <w:rsid w:val="008E4C7C"/>
    <w:rsid w:val="008E695D"/>
    <w:rsid w:val="008F233B"/>
    <w:rsid w:val="008F39FF"/>
    <w:rsid w:val="008F3FFF"/>
    <w:rsid w:val="00901593"/>
    <w:rsid w:val="00903E4B"/>
    <w:rsid w:val="00905835"/>
    <w:rsid w:val="00905E65"/>
    <w:rsid w:val="00911F7F"/>
    <w:rsid w:val="0091334B"/>
    <w:rsid w:val="00920A7F"/>
    <w:rsid w:val="009255AD"/>
    <w:rsid w:val="009264CB"/>
    <w:rsid w:val="00926D7E"/>
    <w:rsid w:val="0093109F"/>
    <w:rsid w:val="0093330F"/>
    <w:rsid w:val="00934E20"/>
    <w:rsid w:val="009369C7"/>
    <w:rsid w:val="00937D59"/>
    <w:rsid w:val="009423A1"/>
    <w:rsid w:val="00942E01"/>
    <w:rsid w:val="009468A8"/>
    <w:rsid w:val="0095120F"/>
    <w:rsid w:val="00952CC9"/>
    <w:rsid w:val="00955FF7"/>
    <w:rsid w:val="00962C7D"/>
    <w:rsid w:val="00965076"/>
    <w:rsid w:val="00970678"/>
    <w:rsid w:val="009738CB"/>
    <w:rsid w:val="00973BAC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43"/>
    <w:rsid w:val="009B0997"/>
    <w:rsid w:val="009B3048"/>
    <w:rsid w:val="009B7801"/>
    <w:rsid w:val="009C1A6F"/>
    <w:rsid w:val="009C2326"/>
    <w:rsid w:val="009C3842"/>
    <w:rsid w:val="009C6C86"/>
    <w:rsid w:val="009D0CD4"/>
    <w:rsid w:val="009D208A"/>
    <w:rsid w:val="009D2704"/>
    <w:rsid w:val="009D3F27"/>
    <w:rsid w:val="009D68B8"/>
    <w:rsid w:val="009E6012"/>
    <w:rsid w:val="009F68BD"/>
    <w:rsid w:val="009F770A"/>
    <w:rsid w:val="00A00FCA"/>
    <w:rsid w:val="00A035F3"/>
    <w:rsid w:val="00A03C2A"/>
    <w:rsid w:val="00A0479B"/>
    <w:rsid w:val="00A10979"/>
    <w:rsid w:val="00A10B0D"/>
    <w:rsid w:val="00A12D39"/>
    <w:rsid w:val="00A142CC"/>
    <w:rsid w:val="00A17B55"/>
    <w:rsid w:val="00A17C58"/>
    <w:rsid w:val="00A203B3"/>
    <w:rsid w:val="00A24ADD"/>
    <w:rsid w:val="00A25491"/>
    <w:rsid w:val="00A343C2"/>
    <w:rsid w:val="00A44BB2"/>
    <w:rsid w:val="00A473D5"/>
    <w:rsid w:val="00A55DCD"/>
    <w:rsid w:val="00A617F1"/>
    <w:rsid w:val="00A623A1"/>
    <w:rsid w:val="00A64BCF"/>
    <w:rsid w:val="00A65601"/>
    <w:rsid w:val="00A65DE6"/>
    <w:rsid w:val="00A700BE"/>
    <w:rsid w:val="00A71F25"/>
    <w:rsid w:val="00A72306"/>
    <w:rsid w:val="00A84A57"/>
    <w:rsid w:val="00A85CB0"/>
    <w:rsid w:val="00A949A1"/>
    <w:rsid w:val="00A9504D"/>
    <w:rsid w:val="00A97DCC"/>
    <w:rsid w:val="00AA56E0"/>
    <w:rsid w:val="00AA7510"/>
    <w:rsid w:val="00AB447A"/>
    <w:rsid w:val="00AC01EF"/>
    <w:rsid w:val="00AC46AF"/>
    <w:rsid w:val="00AD3B32"/>
    <w:rsid w:val="00AD4515"/>
    <w:rsid w:val="00AE0FA1"/>
    <w:rsid w:val="00AE37C4"/>
    <w:rsid w:val="00AE3A52"/>
    <w:rsid w:val="00AE50DD"/>
    <w:rsid w:val="00AF2433"/>
    <w:rsid w:val="00AF354C"/>
    <w:rsid w:val="00AF75E1"/>
    <w:rsid w:val="00B0184F"/>
    <w:rsid w:val="00B06D6F"/>
    <w:rsid w:val="00B10FDE"/>
    <w:rsid w:val="00B1114F"/>
    <w:rsid w:val="00B130B8"/>
    <w:rsid w:val="00B15DD2"/>
    <w:rsid w:val="00B175B0"/>
    <w:rsid w:val="00B2409B"/>
    <w:rsid w:val="00B268A4"/>
    <w:rsid w:val="00B30C93"/>
    <w:rsid w:val="00B3759A"/>
    <w:rsid w:val="00B37DCE"/>
    <w:rsid w:val="00B42320"/>
    <w:rsid w:val="00B568DB"/>
    <w:rsid w:val="00B62D2B"/>
    <w:rsid w:val="00B729FD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37E3"/>
    <w:rsid w:val="00BA4B65"/>
    <w:rsid w:val="00BB33E1"/>
    <w:rsid w:val="00BB7EBB"/>
    <w:rsid w:val="00BD1E3D"/>
    <w:rsid w:val="00BD24D3"/>
    <w:rsid w:val="00BD5E1B"/>
    <w:rsid w:val="00BD6175"/>
    <w:rsid w:val="00BE0062"/>
    <w:rsid w:val="00BE18ED"/>
    <w:rsid w:val="00BE390D"/>
    <w:rsid w:val="00BF0595"/>
    <w:rsid w:val="00BF0E86"/>
    <w:rsid w:val="00C14C38"/>
    <w:rsid w:val="00C16169"/>
    <w:rsid w:val="00C17728"/>
    <w:rsid w:val="00C20C86"/>
    <w:rsid w:val="00C21FF5"/>
    <w:rsid w:val="00C26D43"/>
    <w:rsid w:val="00C32A63"/>
    <w:rsid w:val="00C41A1F"/>
    <w:rsid w:val="00C52624"/>
    <w:rsid w:val="00C57D11"/>
    <w:rsid w:val="00C66BE2"/>
    <w:rsid w:val="00C7052A"/>
    <w:rsid w:val="00C706A4"/>
    <w:rsid w:val="00C7359B"/>
    <w:rsid w:val="00C74F49"/>
    <w:rsid w:val="00C774BC"/>
    <w:rsid w:val="00C77607"/>
    <w:rsid w:val="00C84AEB"/>
    <w:rsid w:val="00C90C63"/>
    <w:rsid w:val="00C91D2D"/>
    <w:rsid w:val="00CA0324"/>
    <w:rsid w:val="00CA0E8A"/>
    <w:rsid w:val="00CA1917"/>
    <w:rsid w:val="00CA5326"/>
    <w:rsid w:val="00CA7D51"/>
    <w:rsid w:val="00CB12E0"/>
    <w:rsid w:val="00CB1DC5"/>
    <w:rsid w:val="00CB2294"/>
    <w:rsid w:val="00CB42F4"/>
    <w:rsid w:val="00CB53F5"/>
    <w:rsid w:val="00CD3795"/>
    <w:rsid w:val="00CD3BBC"/>
    <w:rsid w:val="00CD69F6"/>
    <w:rsid w:val="00CD72D7"/>
    <w:rsid w:val="00CF148B"/>
    <w:rsid w:val="00CF3156"/>
    <w:rsid w:val="00CF541F"/>
    <w:rsid w:val="00CF66C6"/>
    <w:rsid w:val="00D003AD"/>
    <w:rsid w:val="00D024A2"/>
    <w:rsid w:val="00D05786"/>
    <w:rsid w:val="00D120D7"/>
    <w:rsid w:val="00D12ED7"/>
    <w:rsid w:val="00D14AD8"/>
    <w:rsid w:val="00D17A17"/>
    <w:rsid w:val="00D233FD"/>
    <w:rsid w:val="00D23768"/>
    <w:rsid w:val="00D23B5C"/>
    <w:rsid w:val="00D30BD5"/>
    <w:rsid w:val="00D30C60"/>
    <w:rsid w:val="00D37C3C"/>
    <w:rsid w:val="00D423D3"/>
    <w:rsid w:val="00D4332B"/>
    <w:rsid w:val="00D47DCF"/>
    <w:rsid w:val="00D56BE4"/>
    <w:rsid w:val="00D623EC"/>
    <w:rsid w:val="00D632A6"/>
    <w:rsid w:val="00D71F15"/>
    <w:rsid w:val="00D72256"/>
    <w:rsid w:val="00D77D02"/>
    <w:rsid w:val="00D9455D"/>
    <w:rsid w:val="00DA12E0"/>
    <w:rsid w:val="00DA14DC"/>
    <w:rsid w:val="00DA337D"/>
    <w:rsid w:val="00DB1DEA"/>
    <w:rsid w:val="00DC2644"/>
    <w:rsid w:val="00DC37D7"/>
    <w:rsid w:val="00DD00EA"/>
    <w:rsid w:val="00DD11A9"/>
    <w:rsid w:val="00DD3200"/>
    <w:rsid w:val="00DD4A9C"/>
    <w:rsid w:val="00DE6BC7"/>
    <w:rsid w:val="00DE7D7A"/>
    <w:rsid w:val="00DF17B8"/>
    <w:rsid w:val="00DF1DD3"/>
    <w:rsid w:val="00DF2308"/>
    <w:rsid w:val="00DF78D0"/>
    <w:rsid w:val="00DF7FA3"/>
    <w:rsid w:val="00E00A73"/>
    <w:rsid w:val="00E01EB0"/>
    <w:rsid w:val="00E02318"/>
    <w:rsid w:val="00E0588E"/>
    <w:rsid w:val="00E061EE"/>
    <w:rsid w:val="00E06393"/>
    <w:rsid w:val="00E06DA7"/>
    <w:rsid w:val="00E101B8"/>
    <w:rsid w:val="00E108AE"/>
    <w:rsid w:val="00E20358"/>
    <w:rsid w:val="00E20531"/>
    <w:rsid w:val="00E24A8D"/>
    <w:rsid w:val="00E35151"/>
    <w:rsid w:val="00E41DB3"/>
    <w:rsid w:val="00E51BED"/>
    <w:rsid w:val="00E528D3"/>
    <w:rsid w:val="00E574C8"/>
    <w:rsid w:val="00E60725"/>
    <w:rsid w:val="00E60A86"/>
    <w:rsid w:val="00E61F3F"/>
    <w:rsid w:val="00E70AED"/>
    <w:rsid w:val="00E71F4B"/>
    <w:rsid w:val="00E74AE3"/>
    <w:rsid w:val="00E759B7"/>
    <w:rsid w:val="00E80A46"/>
    <w:rsid w:val="00E82DA3"/>
    <w:rsid w:val="00E83E03"/>
    <w:rsid w:val="00E84192"/>
    <w:rsid w:val="00E86D24"/>
    <w:rsid w:val="00E95355"/>
    <w:rsid w:val="00E95DC7"/>
    <w:rsid w:val="00EA0BCB"/>
    <w:rsid w:val="00EA11BC"/>
    <w:rsid w:val="00EA2D87"/>
    <w:rsid w:val="00EB4291"/>
    <w:rsid w:val="00EC2BDA"/>
    <w:rsid w:val="00EC2F97"/>
    <w:rsid w:val="00EC3A25"/>
    <w:rsid w:val="00EE1995"/>
    <w:rsid w:val="00EE456B"/>
    <w:rsid w:val="00EE7D02"/>
    <w:rsid w:val="00EF440B"/>
    <w:rsid w:val="00EF61AD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1598"/>
    <w:rsid w:val="00F5605E"/>
    <w:rsid w:val="00F566F6"/>
    <w:rsid w:val="00F57349"/>
    <w:rsid w:val="00F5775F"/>
    <w:rsid w:val="00F653B3"/>
    <w:rsid w:val="00F65D28"/>
    <w:rsid w:val="00F72E15"/>
    <w:rsid w:val="00F833ED"/>
    <w:rsid w:val="00F85CA7"/>
    <w:rsid w:val="00F96D37"/>
    <w:rsid w:val="00FA47CD"/>
    <w:rsid w:val="00FA6475"/>
    <w:rsid w:val="00FA731B"/>
    <w:rsid w:val="00FB2A91"/>
    <w:rsid w:val="00FC1C5E"/>
    <w:rsid w:val="00FC30F4"/>
    <w:rsid w:val="00FC67CE"/>
    <w:rsid w:val="00FD10B2"/>
    <w:rsid w:val="00FD5943"/>
    <w:rsid w:val="00FE474D"/>
    <w:rsid w:val="00FE74CD"/>
    <w:rsid w:val="00FF196D"/>
    <w:rsid w:val="00FF334E"/>
    <w:rsid w:val="00FF5B3F"/>
    <w:rsid w:val="00FF718C"/>
    <w:rsid w:val="305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C4D-F2D2-4274-8486-E2DACBE79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115</Words>
  <Characters>662</Characters>
  <Lines>5</Lines>
  <Paragraphs>1</Paragraphs>
  <TotalTime>19</TotalTime>
  <ScaleCrop>false</ScaleCrop>
  <LinksUpToDate>false</LinksUpToDate>
  <CharactersWithSpaces>776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2022-10-24T03:19:00Z</dcterms:created>
  <dc:creator>王志勇</dc:creator>
  <cp:lastModifiedBy>Administrator</cp:lastModifiedBy>
  <cp:lastPrinted>2024-12-17T02:03:50Z</cp:lastPrinted>
  <dcterms:modified xsi:type="dcterms:W3CDTF">2024-12-17T02:10:51Z</dcterms:modified>
  <dc:title>德发改〔2007〕号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0A9408D495F74F1BB224BEC9554DFA1B</vt:lpwstr>
  </property>
</Properties>
</file>