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474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0"/>
        <w:gridCol w:w="740"/>
        <w:gridCol w:w="74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800"/>
        <w:gridCol w:w="800"/>
        <w:gridCol w:w="800"/>
        <w:gridCol w:w="800"/>
        <w:gridCol w:w="840"/>
        <w:gridCol w:w="900"/>
        <w:gridCol w:w="90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740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660" w:lineRule="exact"/>
              <w:rPr>
                <w:rFonts w:hint="eastAsia" w:ascii="黑体" w:hAnsi="黑体" w:eastAsia="黑体" w:cs="黑体"/>
                <w:bCs/>
                <w:sz w:val="32"/>
                <w:szCs w:val="20"/>
              </w:rPr>
            </w:pPr>
            <w:r>
              <w:rPr>
                <w:rFonts w:hint="eastAsia" w:ascii="黑体" w:hAnsi="黑体" w:eastAsia="黑体" w:cs="黑体"/>
                <w:bCs/>
                <w:sz w:val="32"/>
                <w:szCs w:val="20"/>
              </w:rPr>
              <w:t>泉教中〔2018〕4号附</w:t>
            </w:r>
            <w:bookmarkStart w:id="0" w:name="_GoBack"/>
            <w:bookmarkEnd w:id="0"/>
            <w:r>
              <w:rPr>
                <w:rFonts w:hint="eastAsia" w:ascii="黑体" w:hAnsi="黑体" w:eastAsia="黑体" w:cs="黑体"/>
                <w:bCs/>
                <w:sz w:val="32"/>
                <w:szCs w:val="20"/>
              </w:rPr>
              <w:t>件3</w:t>
            </w:r>
          </w:p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4740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680" w:lineRule="exact"/>
              <w:jc w:val="center"/>
              <w:rPr>
                <w:rFonts w:hint="eastAsia" w:ascii="宋体" w:hAnsi="宋体" w:cs="宋体"/>
                <w:b/>
                <w:bCs/>
                <w:color w:val="0D0D0D"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bCs/>
                <w:color w:val="0D0D0D"/>
                <w:kern w:val="0"/>
                <w:sz w:val="36"/>
                <w:szCs w:val="36"/>
                <w:u w:val="single"/>
              </w:rPr>
              <w:t xml:space="preserve">         </w:t>
            </w:r>
            <w:r>
              <w:rPr>
                <w:rFonts w:hint="eastAsia" w:ascii="宋体" w:hAnsi="宋体" w:cs="宋体"/>
                <w:b/>
                <w:bCs/>
                <w:color w:val="0D0D0D"/>
                <w:kern w:val="0"/>
                <w:sz w:val="36"/>
                <w:szCs w:val="36"/>
              </w:rPr>
              <w:t>年福建省普通初中教育教学评价情况表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4740" w:type="dxa"/>
            <w:gridSpan w:val="19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</w:t>
            </w:r>
          </w:p>
          <w:p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县(市.区)教育局（盖章）                                              填报时间：     年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县(市、区)</w:t>
            </w:r>
          </w:p>
        </w:tc>
        <w:tc>
          <w:tcPr>
            <w:tcW w:w="778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当年参加中考年级的学生数变化情况</w:t>
            </w:r>
          </w:p>
        </w:tc>
        <w:tc>
          <w:tcPr>
            <w:tcW w:w="8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应报考学生数</w:t>
            </w:r>
          </w:p>
        </w:tc>
        <w:tc>
          <w:tcPr>
            <w:tcW w:w="8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实际参加中考学生数(含保送生)</w:t>
            </w:r>
          </w:p>
        </w:tc>
        <w:tc>
          <w:tcPr>
            <w:tcW w:w="8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中考全科及格人数(含保送生数)</w:t>
            </w:r>
          </w:p>
        </w:tc>
        <w:tc>
          <w:tcPr>
            <w:tcW w:w="8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中考各学科成绩及格人数之和</w:t>
            </w:r>
          </w:p>
        </w:tc>
        <w:tc>
          <w:tcPr>
            <w:tcW w:w="8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初中学生三年巩固率</w:t>
            </w:r>
          </w:p>
        </w:tc>
        <w:tc>
          <w:tcPr>
            <w:tcW w:w="9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中考全科及格率</w:t>
            </w:r>
          </w:p>
        </w:tc>
        <w:tc>
          <w:tcPr>
            <w:tcW w:w="9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中考单科及格率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原七年级招生数</w:t>
            </w:r>
          </w:p>
        </w:tc>
        <w:tc>
          <w:tcPr>
            <w:tcW w:w="28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三年增加</w:t>
            </w:r>
          </w:p>
        </w:tc>
        <w:tc>
          <w:tcPr>
            <w:tcW w:w="420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三年减少</w:t>
            </w: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8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计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复学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转入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其他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增加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计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休学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转出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退学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死亡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辍学</w:t>
            </w: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8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1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⑴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⑵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⑶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⑷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⑸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⑹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⑺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⑻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⑼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⑽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⑾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i/>
                <w:iCs/>
              </w:rPr>
            </w:pPr>
            <w:r>
              <w:rPr>
                <w:rFonts w:hint="eastAsia"/>
                <w:i/>
                <w:iCs/>
              </w:rPr>
              <w:t>A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i/>
                <w:iCs/>
              </w:rPr>
            </w:pPr>
            <w:r>
              <w:rPr>
                <w:rFonts w:hint="eastAsia"/>
                <w:i/>
                <w:iCs/>
              </w:rPr>
              <w:t>B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i/>
                <w:iCs/>
              </w:rPr>
            </w:pPr>
            <w:r>
              <w:rPr>
                <w:rFonts w:hint="eastAsia"/>
                <w:i/>
                <w:iCs/>
              </w:rPr>
              <w:t>C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i/>
                <w:iCs/>
              </w:rPr>
            </w:pPr>
            <w:r>
              <w:rPr>
                <w:rFonts w:hint="eastAsia"/>
                <w:i/>
                <w:iCs/>
              </w:rPr>
              <w:t>D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⒃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⒄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合 计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0" w:hRule="atLeast"/>
        </w:trPr>
        <w:tc>
          <w:tcPr>
            <w:tcW w:w="14740" w:type="dxa"/>
            <w:gridSpan w:val="19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r>
              <w:rPr>
                <w:rFonts w:hint="eastAsia"/>
                <w:b/>
                <w:bCs/>
              </w:rPr>
              <w:t>说明：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 xml:space="preserve"> 1.表中各列关系：⑵=⑶+⑷+⑸，⑹=⑺+⑻+⑼+⑽+⑾，</w:t>
            </w:r>
            <w:r>
              <w:rPr>
                <w:rFonts w:hint="eastAsia"/>
                <w:i/>
                <w:iCs/>
              </w:rPr>
              <w:t xml:space="preserve">A </w:t>
            </w:r>
            <w:r>
              <w:rPr>
                <w:rFonts w:hint="eastAsia"/>
              </w:rPr>
              <w:t>=⑴+⑵-[⑹-⑾]，⒃=（</w:t>
            </w:r>
            <w:r>
              <w:rPr>
                <w:rFonts w:hint="eastAsia"/>
                <w:i/>
                <w:iCs/>
              </w:rPr>
              <w:t>B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  <w:i/>
                <w:iCs/>
              </w:rPr>
              <w:t>A</w:t>
            </w:r>
            <w:r>
              <w:rPr>
                <w:rFonts w:hint="eastAsia"/>
              </w:rPr>
              <w:t>）×100%，⒄=（</w:t>
            </w:r>
            <w:r>
              <w:rPr>
                <w:rFonts w:hint="eastAsia"/>
                <w:i/>
                <w:iCs/>
              </w:rPr>
              <w:t>C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  <w:i/>
                <w:iCs/>
              </w:rPr>
              <w:t>B</w:t>
            </w:r>
            <w:r>
              <w:rPr>
                <w:rFonts w:hint="eastAsia"/>
              </w:rPr>
              <w:t>）×100%，⒅ =（</w:t>
            </w:r>
            <w:r>
              <w:rPr>
                <w:rFonts w:hint="eastAsia"/>
                <w:i/>
                <w:iCs/>
              </w:rPr>
              <w:t>D</w:t>
            </w:r>
            <w:r>
              <w:rPr>
                <w:rFonts w:hint="eastAsia"/>
              </w:rPr>
              <w:t>/10</w:t>
            </w:r>
            <w:r>
              <w:rPr>
                <w:rFonts w:hint="eastAsia"/>
                <w:i/>
                <w:iCs/>
              </w:rPr>
              <w:t>B</w:t>
            </w:r>
            <w:r>
              <w:rPr>
                <w:rFonts w:hint="eastAsia"/>
              </w:rPr>
              <w:t>）×100%；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 xml:space="preserve"> 2.学生中途到国外、境外就读的，原则上应办理休学手续，未办理休学手续但能提供护照证明材料的，应以“退学”作为正常减少处理；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 xml:space="preserve"> 3.各县（市、区）教育局要在每年10月10日前汇总本表，评价对象为当年参加中考的年级。电子稿发送至邮箱:</w:t>
            </w:r>
            <w:r>
              <w:rPr>
                <w:rFonts w:hint="eastAsia"/>
                <w:bCs/>
                <w:u w:val="single"/>
              </w:rPr>
              <w:t>qzsongyh@163.com。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6E90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2018-05-09T08:33:35Z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