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jc w:val="center"/>
        <w:rPr>
          <w:rFonts w:hint="eastAsia" w:ascii="黑体" w:hAnsi="黑体" w:eastAsia="黑体"/>
          <w:sz w:val="44"/>
          <w:szCs w:val="44"/>
        </w:rPr>
      </w:pPr>
      <w:r>
        <w:rPr>
          <w:rFonts w:hint="eastAsia" w:ascii="黑体" w:hAnsi="黑体" w:eastAsia="黑体"/>
          <w:sz w:val="44"/>
          <w:szCs w:val="44"/>
        </w:rPr>
        <w:t>2024</w:t>
      </w:r>
      <w:r>
        <w:rPr>
          <w:rFonts w:hint="eastAsia" w:ascii="黑体" w:hAnsi="黑体" w:eastAsia="黑体"/>
          <w:sz w:val="44"/>
          <w:szCs w:val="44"/>
          <w:lang w:val="en-US" w:eastAsia="zh-CN"/>
        </w:rPr>
        <w:t>年度</w:t>
      </w:r>
      <w:r>
        <w:rPr>
          <w:rFonts w:hint="eastAsia" w:ascii="黑体" w:hAnsi="黑体" w:eastAsia="黑体"/>
          <w:sz w:val="44"/>
          <w:szCs w:val="44"/>
        </w:rPr>
        <w:t>德化县就业补助金专项资金</w:t>
      </w:r>
    </w:p>
    <w:p>
      <w:pPr>
        <w:jc w:val="center"/>
        <w:rPr>
          <w:rFonts w:hint="eastAsia" w:ascii="黑体" w:hAnsi="黑体" w:eastAsia="黑体"/>
          <w:sz w:val="44"/>
          <w:szCs w:val="44"/>
        </w:rPr>
      </w:pPr>
      <w:r>
        <w:rPr>
          <w:rFonts w:hint="eastAsia" w:ascii="黑体" w:hAnsi="黑体" w:eastAsia="黑体"/>
          <w:sz w:val="44"/>
          <w:szCs w:val="44"/>
        </w:rPr>
        <w:t>绩效评价报告</w:t>
      </w: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黑体" w:hAnsi="黑体" w:eastAsia="黑体"/>
          <w:sz w:val="32"/>
          <w:szCs w:val="32"/>
          <w:u w:val="single"/>
        </w:rPr>
      </w:pPr>
      <w:r>
        <w:rPr>
          <w:rFonts w:hint="eastAsia" w:ascii="黑体" w:hAnsi="黑体" w:eastAsia="黑体"/>
          <w:sz w:val="32"/>
          <w:szCs w:val="32"/>
        </w:rPr>
        <w:t>项目单位：</w:t>
      </w:r>
      <w:r>
        <w:rPr>
          <w:rFonts w:hint="eastAsia" w:ascii="黑体" w:hAnsi="黑体" w:eastAsia="黑体"/>
          <w:sz w:val="32"/>
          <w:szCs w:val="32"/>
          <w:u w:val="single"/>
        </w:rPr>
        <w:t xml:space="preserve">     德化县人力资源和社会保障局       </w:t>
      </w:r>
    </w:p>
    <w:p>
      <w:pPr>
        <w:rPr>
          <w:rFonts w:hint="eastAsia" w:ascii="黑体" w:hAnsi="黑体" w:eastAsia="黑体"/>
          <w:sz w:val="32"/>
          <w:szCs w:val="32"/>
          <w:u w:val="single"/>
        </w:rPr>
      </w:pPr>
      <w:r>
        <w:rPr>
          <w:rFonts w:hint="eastAsia" w:ascii="黑体" w:hAnsi="黑体" w:eastAsia="黑体"/>
          <w:sz w:val="32"/>
          <w:szCs w:val="32"/>
        </w:rPr>
        <w:t>委托单位：</w:t>
      </w:r>
      <w:r>
        <w:rPr>
          <w:rFonts w:hint="eastAsia" w:ascii="黑体" w:hAnsi="黑体" w:eastAsia="黑体"/>
          <w:sz w:val="32"/>
          <w:szCs w:val="32"/>
          <w:u w:val="single"/>
        </w:rPr>
        <w:t xml:space="preserve">            德化县财政局              </w:t>
      </w:r>
    </w:p>
    <w:p>
      <w:pPr>
        <w:rPr>
          <w:rFonts w:hint="eastAsia" w:ascii="黑体" w:hAnsi="黑体" w:eastAsia="黑体"/>
          <w:sz w:val="32"/>
          <w:szCs w:val="32"/>
        </w:rPr>
      </w:pPr>
      <w:r>
        <w:rPr>
          <w:rFonts w:hint="eastAsia" w:ascii="黑体" w:hAnsi="黑体" w:eastAsia="黑体"/>
          <w:sz w:val="32"/>
          <w:szCs w:val="32"/>
        </w:rPr>
        <w:t>评价机构：</w:t>
      </w:r>
      <w:r>
        <w:rPr>
          <w:rFonts w:hint="eastAsia" w:ascii="黑体" w:hAnsi="黑体" w:eastAsia="黑体"/>
          <w:sz w:val="32"/>
          <w:szCs w:val="32"/>
          <w:u w:val="single"/>
        </w:rPr>
        <w:t xml:space="preserve">     泉州市启程财务咨询有限公司       </w:t>
      </w:r>
    </w:p>
    <w:p>
      <w:pPr>
        <w:rPr>
          <w:rFonts w:hint="eastAsia" w:ascii="黑体" w:hAnsi="黑体" w:eastAsia="黑体"/>
          <w:sz w:val="32"/>
          <w:szCs w:val="32"/>
          <w:u w:val="single"/>
        </w:rPr>
      </w:pPr>
      <w:r>
        <w:rPr>
          <w:rFonts w:hint="eastAsia" w:ascii="黑体" w:hAnsi="黑体" w:eastAsia="黑体"/>
          <w:sz w:val="32"/>
          <w:szCs w:val="32"/>
        </w:rPr>
        <w:t>评价时间：</w:t>
      </w:r>
      <w:r>
        <w:rPr>
          <w:rFonts w:hint="eastAsia" w:ascii="黑体" w:hAnsi="黑体" w:eastAsia="黑体"/>
          <w:sz w:val="32"/>
          <w:szCs w:val="32"/>
          <w:u w:val="single"/>
        </w:rPr>
        <w:t xml:space="preserve">            2025年8月              </w:t>
      </w: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jc w:val="center"/>
        <w:rPr>
          <w:rFonts w:hint="eastAsia" w:ascii="黑体" w:hAnsi="黑体" w:eastAsia="黑体"/>
          <w:sz w:val="32"/>
          <w:szCs w:val="32"/>
        </w:rPr>
      </w:pPr>
      <w:r>
        <w:rPr>
          <w:rFonts w:hint="eastAsia" w:ascii="黑体" w:hAnsi="黑体" w:eastAsia="黑体"/>
          <w:sz w:val="32"/>
          <w:szCs w:val="32"/>
        </w:rPr>
        <w:t>2025年8月31日</w:t>
      </w:r>
    </w:p>
    <w:p>
      <w:pPr>
        <w:pStyle w:val="261"/>
        <w:jc w:val="center"/>
        <w:rPr>
          <w:rFonts w:hint="eastAsia" w:asciiTheme="minorHAnsi" w:hAnsiTheme="minorHAnsi" w:eastAsiaTheme="minorEastAsia" w:cstheme="minorBidi"/>
          <w:color w:val="auto"/>
          <w:kern w:val="2"/>
          <w:sz w:val="22"/>
          <w:szCs w:val="24"/>
          <w14:ligatures w14:val="standardContextual"/>
        </w:rPr>
      </w:pPr>
    </w:p>
    <w:p>
      <w:pPr>
        <w:jc w:val="center"/>
        <w:rPr>
          <w:rFonts w:hint="eastAsia"/>
        </w:rPr>
      </w:pPr>
    </w:p>
    <w:p>
      <w:pPr>
        <w:jc w:val="center"/>
        <w:rPr>
          <w:rFonts w:hint="eastAsia" w:ascii="宋体" w:hAnsi="宋体" w:eastAsia="宋体"/>
          <w:sz w:val="32"/>
          <w:szCs w:val="32"/>
        </w:rPr>
      </w:pPr>
    </w:p>
    <w:p>
      <w:pPr>
        <w:jc w:val="center"/>
        <w:rPr>
          <w:rFonts w:hint="eastAsia" w:ascii="宋体" w:hAnsi="宋体" w:eastAsia="宋体"/>
          <w:sz w:val="32"/>
          <w:szCs w:val="32"/>
        </w:rPr>
      </w:pPr>
    </w:p>
    <w:p>
      <w:pPr>
        <w:jc w:val="center"/>
        <w:rPr>
          <w:rFonts w:hint="eastAsia" w:ascii="黑体" w:hAnsi="黑体" w:eastAsia="黑体"/>
          <w:sz w:val="32"/>
          <w:szCs w:val="32"/>
        </w:rPr>
      </w:pPr>
      <w:r>
        <w:rPr>
          <w:rFonts w:hint="eastAsia" w:ascii="黑体" w:hAnsi="黑体" w:eastAsia="黑体"/>
          <w:sz w:val="32"/>
          <w:szCs w:val="32"/>
        </w:rPr>
        <w:t>绩效评价工作组人员名单</w:t>
      </w:r>
    </w:p>
    <w:tbl>
      <w:tblPr>
        <w:tblStyle w:val="89"/>
        <w:tblW w:w="852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915"/>
        <w:gridCol w:w="1914"/>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434" w:type="dxa"/>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序号</w:t>
            </w:r>
          </w:p>
        </w:tc>
        <w:tc>
          <w:tcPr>
            <w:tcW w:w="1915" w:type="dxa"/>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职务</w:t>
            </w:r>
          </w:p>
        </w:tc>
        <w:tc>
          <w:tcPr>
            <w:tcW w:w="1914" w:type="dxa"/>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姓名</w:t>
            </w:r>
          </w:p>
        </w:tc>
        <w:tc>
          <w:tcPr>
            <w:tcW w:w="3259" w:type="dxa"/>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434" w:type="dxa"/>
          </w:tcPr>
          <w:p>
            <w:pPr>
              <w:jc w:val="center"/>
              <w:rPr>
                <w:rFonts w:hint="eastAsia" w:ascii="仿宋" w:hAnsi="仿宋" w:eastAsia="仿宋"/>
                <w:sz w:val="28"/>
                <w:szCs w:val="28"/>
                <w:lang w:val="zh-CN"/>
              </w:rPr>
            </w:pPr>
            <w:r>
              <w:rPr>
                <w:rFonts w:hint="eastAsia" w:ascii="仿宋" w:hAnsi="仿宋" w:eastAsia="仿宋"/>
                <w:sz w:val="28"/>
                <w:szCs w:val="28"/>
                <w:lang w:val="zh-CN"/>
              </w:rPr>
              <w:t>1</w:t>
            </w:r>
          </w:p>
        </w:tc>
        <w:tc>
          <w:tcPr>
            <w:tcW w:w="1915" w:type="dxa"/>
          </w:tcPr>
          <w:p>
            <w:pPr>
              <w:jc w:val="center"/>
              <w:rPr>
                <w:rFonts w:hint="eastAsia" w:ascii="仿宋" w:hAnsi="仿宋" w:eastAsia="仿宋"/>
                <w:sz w:val="28"/>
                <w:szCs w:val="28"/>
                <w:lang w:val="zh-CN"/>
              </w:rPr>
            </w:pPr>
            <w:r>
              <w:rPr>
                <w:rFonts w:hint="eastAsia" w:ascii="仿宋" w:hAnsi="仿宋" w:eastAsia="仿宋"/>
                <w:sz w:val="28"/>
                <w:szCs w:val="28"/>
                <w:lang w:val="zh-CN"/>
              </w:rPr>
              <w:t>组长</w:t>
            </w:r>
          </w:p>
        </w:tc>
        <w:tc>
          <w:tcPr>
            <w:tcW w:w="1914" w:type="dxa"/>
          </w:tcPr>
          <w:p>
            <w:pPr>
              <w:jc w:val="center"/>
              <w:rPr>
                <w:rFonts w:hint="eastAsia" w:ascii="仿宋" w:hAnsi="仿宋" w:eastAsia="仿宋"/>
                <w:sz w:val="28"/>
                <w:szCs w:val="28"/>
                <w:lang w:val="zh-CN"/>
              </w:rPr>
            </w:pPr>
            <w:r>
              <w:rPr>
                <w:rFonts w:hint="eastAsia" w:ascii="仿宋" w:hAnsi="仿宋" w:eastAsia="仿宋"/>
                <w:sz w:val="28"/>
                <w:szCs w:val="28"/>
                <w:lang w:val="zh-CN"/>
              </w:rPr>
              <w:t>徐本玉</w:t>
            </w:r>
          </w:p>
        </w:tc>
        <w:tc>
          <w:tcPr>
            <w:tcW w:w="3259" w:type="dxa"/>
          </w:tcPr>
          <w:p>
            <w:pPr>
              <w:jc w:val="center"/>
              <w:rPr>
                <w:rFonts w:hint="eastAsia" w:ascii="仿宋" w:hAnsi="仿宋" w:eastAsia="仿宋"/>
                <w:sz w:val="28"/>
                <w:szCs w:val="28"/>
                <w:lang w:val="zh-CN"/>
              </w:rPr>
            </w:pPr>
            <w:r>
              <w:rPr>
                <w:rFonts w:hint="eastAsia" w:ascii="仿宋" w:hAnsi="仿宋" w:eastAsia="仿宋"/>
                <w:sz w:val="28"/>
                <w:szCs w:val="28"/>
                <w:lang w:val="zh-CN"/>
              </w:rPr>
              <w:t>18606955277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434" w:type="dxa"/>
          </w:tcPr>
          <w:p>
            <w:pPr>
              <w:jc w:val="center"/>
              <w:rPr>
                <w:rFonts w:hint="eastAsia" w:ascii="仿宋" w:hAnsi="仿宋" w:eastAsia="仿宋"/>
                <w:sz w:val="28"/>
                <w:szCs w:val="28"/>
                <w:lang w:val="zh-CN"/>
              </w:rPr>
            </w:pPr>
            <w:r>
              <w:rPr>
                <w:rFonts w:hint="eastAsia" w:ascii="仿宋" w:hAnsi="仿宋" w:eastAsia="仿宋"/>
                <w:sz w:val="28"/>
                <w:szCs w:val="28"/>
                <w:lang w:val="zh-CN"/>
              </w:rPr>
              <w:t>2</w:t>
            </w:r>
          </w:p>
        </w:tc>
        <w:tc>
          <w:tcPr>
            <w:tcW w:w="1915" w:type="dxa"/>
          </w:tcPr>
          <w:p>
            <w:pPr>
              <w:jc w:val="center"/>
              <w:rPr>
                <w:rFonts w:hint="eastAsia" w:ascii="仿宋" w:hAnsi="仿宋" w:eastAsia="仿宋"/>
                <w:sz w:val="28"/>
                <w:szCs w:val="28"/>
                <w:lang w:val="zh-CN"/>
              </w:rPr>
            </w:pPr>
            <w:r>
              <w:rPr>
                <w:rFonts w:hint="eastAsia" w:ascii="仿宋" w:hAnsi="仿宋" w:eastAsia="仿宋"/>
                <w:sz w:val="28"/>
                <w:szCs w:val="28"/>
                <w:lang w:val="zh-CN"/>
              </w:rPr>
              <w:t>副组长</w:t>
            </w:r>
          </w:p>
        </w:tc>
        <w:tc>
          <w:tcPr>
            <w:tcW w:w="1914" w:type="dxa"/>
          </w:tcPr>
          <w:p>
            <w:pPr>
              <w:jc w:val="center"/>
              <w:rPr>
                <w:rFonts w:hint="eastAsia" w:ascii="仿宋" w:hAnsi="仿宋" w:eastAsia="仿宋"/>
                <w:sz w:val="28"/>
                <w:szCs w:val="28"/>
                <w:lang w:val="zh-CN"/>
              </w:rPr>
            </w:pPr>
            <w:r>
              <w:rPr>
                <w:rFonts w:hint="eastAsia" w:ascii="仿宋" w:hAnsi="仿宋" w:eastAsia="仿宋"/>
                <w:sz w:val="28"/>
                <w:szCs w:val="28"/>
                <w:lang w:val="zh-CN"/>
              </w:rPr>
              <w:t>卢婉芳</w:t>
            </w:r>
          </w:p>
        </w:tc>
        <w:tc>
          <w:tcPr>
            <w:tcW w:w="3259" w:type="dxa"/>
          </w:tcPr>
          <w:p>
            <w:pPr>
              <w:jc w:val="center"/>
              <w:rPr>
                <w:rFonts w:hint="eastAsia" w:ascii="仿宋" w:hAnsi="仿宋" w:eastAsia="仿宋"/>
                <w:sz w:val="28"/>
                <w:szCs w:val="28"/>
                <w:lang w:val="zh-CN"/>
              </w:rPr>
            </w:pPr>
            <w:r>
              <w:rPr>
                <w:rFonts w:hint="eastAsia" w:ascii="仿宋" w:hAnsi="仿宋" w:eastAsia="仿宋"/>
                <w:sz w:val="28"/>
                <w:szCs w:val="28"/>
                <w:lang w:val="zh-CN"/>
              </w:rPr>
              <w:t>15060965456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434" w:type="dxa"/>
          </w:tcPr>
          <w:p>
            <w:pPr>
              <w:jc w:val="center"/>
              <w:rPr>
                <w:rFonts w:hint="eastAsia" w:ascii="仿宋" w:hAnsi="仿宋" w:eastAsia="仿宋"/>
                <w:sz w:val="28"/>
                <w:szCs w:val="28"/>
                <w:lang w:val="zh-CN"/>
              </w:rPr>
            </w:pPr>
            <w:r>
              <w:rPr>
                <w:rFonts w:hint="eastAsia" w:ascii="仿宋" w:hAnsi="仿宋" w:eastAsia="仿宋"/>
                <w:sz w:val="28"/>
                <w:szCs w:val="28"/>
                <w:lang w:val="zh-CN"/>
              </w:rPr>
              <w:t>3</w:t>
            </w:r>
          </w:p>
        </w:tc>
        <w:tc>
          <w:tcPr>
            <w:tcW w:w="1915" w:type="dxa"/>
          </w:tcPr>
          <w:p>
            <w:pPr>
              <w:jc w:val="center"/>
              <w:rPr>
                <w:rFonts w:hint="eastAsia" w:ascii="仿宋" w:hAnsi="仿宋" w:eastAsia="仿宋"/>
                <w:sz w:val="28"/>
                <w:szCs w:val="28"/>
                <w:lang w:val="zh-CN"/>
              </w:rPr>
            </w:pPr>
            <w:r>
              <w:rPr>
                <w:rFonts w:hint="eastAsia" w:ascii="仿宋" w:hAnsi="仿宋" w:eastAsia="仿宋"/>
                <w:sz w:val="28"/>
                <w:szCs w:val="28"/>
                <w:lang w:val="zh-CN"/>
              </w:rPr>
              <w:t>副组长</w:t>
            </w:r>
          </w:p>
        </w:tc>
        <w:tc>
          <w:tcPr>
            <w:tcW w:w="1914" w:type="dxa"/>
          </w:tcPr>
          <w:p>
            <w:pPr>
              <w:jc w:val="center"/>
              <w:rPr>
                <w:rFonts w:hint="eastAsia" w:ascii="仿宋" w:hAnsi="仿宋" w:eastAsia="仿宋"/>
                <w:sz w:val="28"/>
                <w:szCs w:val="28"/>
                <w:lang w:val="zh-CN"/>
              </w:rPr>
            </w:pPr>
            <w:r>
              <w:rPr>
                <w:rFonts w:hint="eastAsia" w:ascii="仿宋" w:hAnsi="仿宋" w:eastAsia="仿宋"/>
                <w:sz w:val="28"/>
                <w:szCs w:val="28"/>
                <w:lang w:val="zh-CN"/>
              </w:rPr>
              <w:t>黄诚永</w:t>
            </w:r>
          </w:p>
        </w:tc>
        <w:tc>
          <w:tcPr>
            <w:tcW w:w="3259" w:type="dxa"/>
          </w:tcPr>
          <w:p>
            <w:pPr>
              <w:jc w:val="center"/>
              <w:rPr>
                <w:rFonts w:hint="eastAsia" w:ascii="仿宋" w:hAnsi="仿宋" w:eastAsia="仿宋"/>
                <w:sz w:val="28"/>
                <w:szCs w:val="28"/>
                <w:lang w:val="zh-CN"/>
              </w:rPr>
            </w:pPr>
            <w:r>
              <w:rPr>
                <w:rFonts w:hint="eastAsia" w:ascii="仿宋" w:hAnsi="仿宋" w:eastAsia="仿宋"/>
                <w:sz w:val="28"/>
                <w:szCs w:val="28"/>
                <w:lang w:val="zh-CN"/>
              </w:rPr>
              <w:t>15559037665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434" w:type="dxa"/>
          </w:tcPr>
          <w:p>
            <w:pPr>
              <w:jc w:val="center"/>
              <w:rPr>
                <w:rFonts w:hint="eastAsia" w:ascii="仿宋" w:hAnsi="仿宋" w:eastAsia="仿宋"/>
                <w:sz w:val="28"/>
                <w:szCs w:val="28"/>
                <w:lang w:val="zh-CN"/>
              </w:rPr>
            </w:pPr>
            <w:r>
              <w:rPr>
                <w:rFonts w:hint="eastAsia" w:ascii="仿宋" w:hAnsi="仿宋" w:eastAsia="仿宋"/>
                <w:sz w:val="28"/>
                <w:szCs w:val="28"/>
                <w:lang w:val="zh-CN"/>
              </w:rPr>
              <w:t>4</w:t>
            </w:r>
          </w:p>
        </w:tc>
        <w:tc>
          <w:tcPr>
            <w:tcW w:w="1915" w:type="dxa"/>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914" w:type="dxa"/>
          </w:tcPr>
          <w:p>
            <w:pPr>
              <w:jc w:val="center"/>
              <w:rPr>
                <w:rFonts w:hint="eastAsia" w:ascii="仿宋" w:hAnsi="仿宋" w:eastAsia="仿宋"/>
                <w:sz w:val="28"/>
                <w:szCs w:val="28"/>
                <w:lang w:val="zh-CN"/>
              </w:rPr>
            </w:pPr>
            <w:r>
              <w:rPr>
                <w:rFonts w:hint="eastAsia" w:ascii="仿宋" w:hAnsi="仿宋" w:eastAsia="仿宋"/>
                <w:sz w:val="28"/>
                <w:szCs w:val="28"/>
                <w:lang w:val="zh-CN"/>
              </w:rPr>
              <w:t>陈晓彬</w:t>
            </w:r>
          </w:p>
        </w:tc>
        <w:tc>
          <w:tcPr>
            <w:tcW w:w="3259" w:type="dxa"/>
          </w:tcPr>
          <w:p>
            <w:pPr>
              <w:jc w:val="center"/>
              <w:rPr>
                <w:rFonts w:hint="eastAsia" w:ascii="仿宋" w:hAnsi="仿宋" w:eastAsia="仿宋"/>
                <w:sz w:val="28"/>
                <w:szCs w:val="28"/>
                <w:lang w:val="zh-CN"/>
              </w:rPr>
            </w:pPr>
            <w:r>
              <w:rPr>
                <w:rFonts w:hint="eastAsia" w:ascii="仿宋" w:hAnsi="仿宋" w:eastAsia="仿宋"/>
                <w:sz w:val="28"/>
                <w:szCs w:val="28"/>
                <w:lang w:val="zh-CN"/>
              </w:rPr>
              <w:t>15960567231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434" w:type="dxa"/>
          </w:tcPr>
          <w:p>
            <w:pPr>
              <w:jc w:val="center"/>
              <w:rPr>
                <w:rFonts w:hint="eastAsia" w:ascii="仿宋" w:hAnsi="仿宋" w:eastAsia="仿宋"/>
                <w:sz w:val="28"/>
                <w:szCs w:val="28"/>
                <w:lang w:val="zh-CN"/>
              </w:rPr>
            </w:pPr>
            <w:r>
              <w:rPr>
                <w:rFonts w:hint="eastAsia" w:ascii="仿宋" w:hAnsi="仿宋" w:eastAsia="仿宋"/>
                <w:sz w:val="28"/>
                <w:szCs w:val="28"/>
                <w:lang w:val="zh-CN"/>
              </w:rPr>
              <w:t>5</w:t>
            </w:r>
          </w:p>
        </w:tc>
        <w:tc>
          <w:tcPr>
            <w:tcW w:w="1915" w:type="dxa"/>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914" w:type="dxa"/>
          </w:tcPr>
          <w:p>
            <w:pPr>
              <w:jc w:val="center"/>
              <w:rPr>
                <w:rFonts w:hint="eastAsia" w:ascii="仿宋" w:hAnsi="仿宋" w:eastAsia="仿宋"/>
                <w:sz w:val="28"/>
                <w:szCs w:val="28"/>
                <w:lang w:val="zh-CN"/>
              </w:rPr>
            </w:pPr>
            <w:r>
              <w:rPr>
                <w:rFonts w:hint="eastAsia" w:ascii="仿宋" w:hAnsi="仿宋" w:eastAsia="仿宋"/>
                <w:sz w:val="28"/>
                <w:szCs w:val="28"/>
                <w:lang w:val="zh-CN"/>
              </w:rPr>
              <w:t>刘凤阳</w:t>
            </w:r>
          </w:p>
        </w:tc>
        <w:tc>
          <w:tcPr>
            <w:tcW w:w="3259" w:type="dxa"/>
          </w:tcPr>
          <w:p>
            <w:pPr>
              <w:jc w:val="center"/>
              <w:rPr>
                <w:rFonts w:hint="eastAsia" w:ascii="仿宋" w:hAnsi="仿宋" w:eastAsia="仿宋"/>
                <w:sz w:val="28"/>
                <w:szCs w:val="28"/>
                <w:lang w:val="zh-CN"/>
              </w:rPr>
            </w:pPr>
            <w:r>
              <w:rPr>
                <w:rFonts w:hint="eastAsia" w:ascii="仿宋" w:hAnsi="仿宋" w:eastAsia="仿宋"/>
                <w:sz w:val="28"/>
                <w:szCs w:val="28"/>
                <w:lang w:val="zh-CN"/>
              </w:rPr>
              <w:t>13348313607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434" w:type="dxa"/>
          </w:tcPr>
          <w:p>
            <w:pPr>
              <w:jc w:val="center"/>
              <w:rPr>
                <w:rFonts w:hint="eastAsia" w:ascii="仿宋" w:hAnsi="仿宋" w:eastAsia="仿宋"/>
                <w:sz w:val="28"/>
                <w:szCs w:val="28"/>
                <w:lang w:val="zh-CN"/>
              </w:rPr>
            </w:pPr>
            <w:r>
              <w:rPr>
                <w:rFonts w:hint="eastAsia" w:ascii="仿宋" w:hAnsi="仿宋" w:eastAsia="仿宋"/>
                <w:sz w:val="28"/>
                <w:szCs w:val="28"/>
                <w:lang w:val="zh-CN"/>
              </w:rPr>
              <w:t>6</w:t>
            </w:r>
          </w:p>
        </w:tc>
        <w:tc>
          <w:tcPr>
            <w:tcW w:w="1915" w:type="dxa"/>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914" w:type="dxa"/>
          </w:tcPr>
          <w:p>
            <w:pPr>
              <w:jc w:val="center"/>
              <w:rPr>
                <w:rFonts w:hint="eastAsia" w:ascii="仿宋" w:hAnsi="仿宋" w:eastAsia="仿宋"/>
                <w:sz w:val="28"/>
                <w:szCs w:val="28"/>
                <w:lang w:val="zh-CN"/>
              </w:rPr>
            </w:pPr>
            <w:r>
              <w:rPr>
                <w:rFonts w:hint="eastAsia" w:ascii="仿宋" w:hAnsi="仿宋" w:eastAsia="仿宋"/>
                <w:sz w:val="28"/>
                <w:szCs w:val="28"/>
                <w:lang w:val="zh-CN"/>
              </w:rPr>
              <w:t>李英</w:t>
            </w:r>
          </w:p>
        </w:tc>
        <w:tc>
          <w:tcPr>
            <w:tcW w:w="3259" w:type="dxa"/>
          </w:tcPr>
          <w:p>
            <w:pPr>
              <w:jc w:val="center"/>
              <w:rPr>
                <w:rFonts w:hint="eastAsia" w:ascii="仿宋" w:hAnsi="仿宋" w:eastAsia="仿宋"/>
                <w:sz w:val="28"/>
                <w:szCs w:val="28"/>
                <w:lang w:val="zh-CN"/>
              </w:rPr>
            </w:pPr>
            <w:r>
              <w:rPr>
                <w:rFonts w:hint="eastAsia" w:ascii="仿宋" w:hAnsi="仿宋" w:eastAsia="仿宋"/>
                <w:sz w:val="28"/>
                <w:szCs w:val="28"/>
                <w:lang w:val="zh-CN"/>
              </w:rPr>
              <w:t>19959520670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434" w:type="dxa"/>
          </w:tcPr>
          <w:p>
            <w:pPr>
              <w:jc w:val="center"/>
              <w:rPr>
                <w:rFonts w:hint="eastAsia" w:ascii="仿宋" w:hAnsi="仿宋" w:eastAsia="仿宋"/>
                <w:sz w:val="28"/>
                <w:szCs w:val="28"/>
                <w:lang w:val="zh-CN"/>
              </w:rPr>
            </w:pPr>
            <w:r>
              <w:rPr>
                <w:rFonts w:hint="eastAsia" w:ascii="仿宋" w:hAnsi="仿宋" w:eastAsia="仿宋"/>
                <w:sz w:val="28"/>
                <w:szCs w:val="28"/>
                <w:lang w:val="zh-CN"/>
              </w:rPr>
              <w:t>7</w:t>
            </w:r>
          </w:p>
        </w:tc>
        <w:tc>
          <w:tcPr>
            <w:tcW w:w="1915" w:type="dxa"/>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914" w:type="dxa"/>
          </w:tcPr>
          <w:p>
            <w:pPr>
              <w:jc w:val="center"/>
              <w:rPr>
                <w:rFonts w:hint="eastAsia" w:ascii="仿宋" w:hAnsi="仿宋" w:eastAsia="仿宋"/>
                <w:sz w:val="28"/>
                <w:szCs w:val="28"/>
                <w:lang w:val="zh-CN"/>
              </w:rPr>
            </w:pPr>
            <w:r>
              <w:rPr>
                <w:rFonts w:hint="eastAsia" w:ascii="仿宋" w:hAnsi="仿宋" w:eastAsia="仿宋"/>
                <w:sz w:val="28"/>
                <w:szCs w:val="28"/>
                <w:lang w:val="zh-CN"/>
              </w:rPr>
              <w:t>施沛芸</w:t>
            </w:r>
          </w:p>
        </w:tc>
        <w:tc>
          <w:tcPr>
            <w:tcW w:w="3259" w:type="dxa"/>
          </w:tcPr>
          <w:p>
            <w:pPr>
              <w:jc w:val="center"/>
              <w:rPr>
                <w:rFonts w:hint="eastAsia" w:ascii="仿宋" w:hAnsi="仿宋" w:eastAsia="仿宋"/>
                <w:sz w:val="28"/>
                <w:szCs w:val="28"/>
                <w:lang w:val="zh-CN"/>
              </w:rPr>
            </w:pPr>
            <w:r>
              <w:rPr>
                <w:rFonts w:hint="eastAsia" w:ascii="仿宋" w:hAnsi="仿宋" w:eastAsia="仿宋"/>
                <w:sz w:val="28"/>
                <w:szCs w:val="28"/>
                <w:lang w:val="zh-CN"/>
              </w:rPr>
              <w:t>13960474685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434" w:type="dxa"/>
          </w:tcPr>
          <w:p>
            <w:pPr>
              <w:jc w:val="center"/>
              <w:rPr>
                <w:rFonts w:hint="eastAsia" w:ascii="仿宋" w:hAnsi="仿宋" w:eastAsia="仿宋"/>
                <w:sz w:val="28"/>
                <w:szCs w:val="28"/>
                <w:lang w:val="zh-CN"/>
              </w:rPr>
            </w:pPr>
            <w:r>
              <w:rPr>
                <w:rFonts w:hint="eastAsia" w:ascii="仿宋" w:hAnsi="仿宋" w:eastAsia="仿宋"/>
                <w:sz w:val="28"/>
                <w:szCs w:val="28"/>
                <w:lang w:val="zh-CN"/>
              </w:rPr>
              <w:t>8</w:t>
            </w:r>
          </w:p>
        </w:tc>
        <w:tc>
          <w:tcPr>
            <w:tcW w:w="1915" w:type="dxa"/>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914" w:type="dxa"/>
          </w:tcPr>
          <w:p>
            <w:pPr>
              <w:jc w:val="center"/>
              <w:rPr>
                <w:rFonts w:hint="eastAsia" w:ascii="仿宋" w:hAnsi="仿宋" w:eastAsia="仿宋"/>
                <w:sz w:val="28"/>
                <w:szCs w:val="28"/>
                <w:lang w:val="zh-CN"/>
              </w:rPr>
            </w:pPr>
            <w:r>
              <w:rPr>
                <w:rFonts w:hint="eastAsia" w:ascii="仿宋" w:hAnsi="仿宋" w:eastAsia="仿宋"/>
                <w:sz w:val="28"/>
                <w:szCs w:val="28"/>
                <w:lang w:val="zh-CN"/>
              </w:rPr>
              <w:t>林善英</w:t>
            </w:r>
          </w:p>
        </w:tc>
        <w:tc>
          <w:tcPr>
            <w:tcW w:w="3259" w:type="dxa"/>
          </w:tcPr>
          <w:p>
            <w:pPr>
              <w:jc w:val="center"/>
              <w:rPr>
                <w:rFonts w:hint="eastAsia" w:ascii="仿宋" w:hAnsi="仿宋" w:eastAsia="仿宋"/>
                <w:sz w:val="28"/>
                <w:szCs w:val="28"/>
                <w:lang w:val="zh-CN"/>
              </w:rPr>
            </w:pPr>
            <w:r>
              <w:rPr>
                <w:rFonts w:hint="eastAsia" w:ascii="仿宋" w:hAnsi="仿宋" w:eastAsia="仿宋"/>
                <w:sz w:val="28"/>
                <w:szCs w:val="28"/>
                <w:lang w:val="zh-CN"/>
              </w:rPr>
              <w:t>18650271107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434" w:type="dxa"/>
          </w:tcPr>
          <w:p>
            <w:pPr>
              <w:jc w:val="center"/>
              <w:rPr>
                <w:rFonts w:hint="eastAsia" w:ascii="仿宋" w:hAnsi="仿宋" w:eastAsia="仿宋"/>
                <w:sz w:val="28"/>
                <w:szCs w:val="28"/>
                <w:lang w:val="zh-CN"/>
              </w:rPr>
            </w:pPr>
            <w:r>
              <w:rPr>
                <w:rFonts w:hint="eastAsia" w:ascii="仿宋" w:hAnsi="仿宋" w:eastAsia="仿宋"/>
                <w:sz w:val="28"/>
                <w:szCs w:val="28"/>
                <w:lang w:val="zh-CN"/>
              </w:rPr>
              <w:t>9</w:t>
            </w:r>
          </w:p>
        </w:tc>
        <w:tc>
          <w:tcPr>
            <w:tcW w:w="1915" w:type="dxa"/>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914" w:type="dxa"/>
          </w:tcPr>
          <w:p>
            <w:pPr>
              <w:jc w:val="center"/>
              <w:rPr>
                <w:rFonts w:hint="eastAsia" w:ascii="仿宋" w:hAnsi="仿宋" w:eastAsia="仿宋"/>
                <w:sz w:val="28"/>
                <w:szCs w:val="28"/>
                <w:lang w:val="zh-CN"/>
              </w:rPr>
            </w:pPr>
            <w:r>
              <w:rPr>
                <w:rFonts w:hint="eastAsia" w:ascii="仿宋" w:hAnsi="仿宋" w:eastAsia="仿宋"/>
                <w:sz w:val="28"/>
                <w:szCs w:val="28"/>
                <w:lang w:val="zh-CN"/>
              </w:rPr>
              <w:t>王燕燕</w:t>
            </w:r>
          </w:p>
        </w:tc>
        <w:tc>
          <w:tcPr>
            <w:tcW w:w="3259" w:type="dxa"/>
          </w:tcPr>
          <w:p>
            <w:pPr>
              <w:jc w:val="center"/>
              <w:rPr>
                <w:rFonts w:hint="eastAsia" w:ascii="仿宋" w:hAnsi="仿宋" w:eastAsia="仿宋"/>
                <w:sz w:val="28"/>
                <w:szCs w:val="28"/>
                <w:lang w:val="zh-CN"/>
              </w:rPr>
            </w:pPr>
            <w:r>
              <w:rPr>
                <w:rFonts w:hint="eastAsia" w:ascii="仿宋" w:hAnsi="仿宋" w:eastAsia="仿宋"/>
                <w:sz w:val="28"/>
                <w:szCs w:val="28"/>
                <w:lang w:val="zh-CN"/>
              </w:rPr>
              <w:t>17850999589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434" w:type="dxa"/>
          </w:tcPr>
          <w:p>
            <w:pPr>
              <w:jc w:val="center"/>
              <w:rPr>
                <w:rFonts w:hint="eastAsia" w:ascii="仿宋" w:hAnsi="仿宋" w:eastAsia="仿宋"/>
                <w:sz w:val="28"/>
                <w:szCs w:val="28"/>
                <w:lang w:val="zh-CN"/>
              </w:rPr>
            </w:pPr>
            <w:r>
              <w:rPr>
                <w:rFonts w:hint="eastAsia" w:ascii="仿宋" w:hAnsi="仿宋" w:eastAsia="仿宋"/>
                <w:sz w:val="28"/>
                <w:szCs w:val="28"/>
                <w:lang w:val="zh-CN"/>
              </w:rPr>
              <w:t>10</w:t>
            </w:r>
          </w:p>
        </w:tc>
        <w:tc>
          <w:tcPr>
            <w:tcW w:w="1915" w:type="dxa"/>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914" w:type="dxa"/>
          </w:tcPr>
          <w:p>
            <w:pPr>
              <w:jc w:val="center"/>
              <w:rPr>
                <w:rFonts w:hint="eastAsia" w:ascii="仿宋" w:hAnsi="仿宋" w:eastAsia="仿宋"/>
                <w:sz w:val="28"/>
                <w:szCs w:val="28"/>
                <w:lang w:val="zh-CN"/>
              </w:rPr>
            </w:pPr>
            <w:r>
              <w:rPr>
                <w:rFonts w:hint="eastAsia" w:ascii="仿宋" w:hAnsi="仿宋" w:eastAsia="仿宋"/>
                <w:sz w:val="28"/>
                <w:szCs w:val="28"/>
                <w:lang w:val="zh-CN"/>
              </w:rPr>
              <w:t>吴劲榕</w:t>
            </w:r>
          </w:p>
        </w:tc>
        <w:tc>
          <w:tcPr>
            <w:tcW w:w="3259" w:type="dxa"/>
          </w:tcPr>
          <w:p>
            <w:pPr>
              <w:jc w:val="center"/>
              <w:rPr>
                <w:rFonts w:hint="eastAsia" w:ascii="仿宋" w:hAnsi="仿宋" w:eastAsia="仿宋"/>
                <w:sz w:val="28"/>
                <w:szCs w:val="28"/>
                <w:lang w:val="zh-CN"/>
              </w:rPr>
            </w:pPr>
            <w:r>
              <w:rPr>
                <w:rFonts w:hint="eastAsia" w:ascii="仿宋" w:hAnsi="仿宋" w:eastAsia="仿宋"/>
                <w:sz w:val="28"/>
                <w:szCs w:val="28"/>
                <w:lang w:val="zh-CN"/>
              </w:rPr>
              <w:t>19859000926</w:t>
            </w:r>
          </w:p>
        </w:tc>
      </w:tr>
    </w:tbl>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widowControl/>
        <w:spacing w:after="0" w:line="240" w:lineRule="auto"/>
        <w:rPr>
          <w:rFonts w:hint="eastAsia"/>
          <w:lang w:val="zh-CN"/>
        </w:rPr>
      </w:pPr>
      <w:r>
        <w:rPr>
          <w:rFonts w:hint="eastAsia"/>
          <w:lang w:val="zh-CN"/>
        </w:rPr>
        <w:br w:type="page"/>
      </w:r>
    </w:p>
    <w:sdt>
      <w:sdtPr>
        <w:rPr>
          <w:rFonts w:asciiTheme="minorHAnsi" w:hAnsiTheme="minorHAnsi" w:eastAsiaTheme="minorEastAsia" w:cstheme="minorBidi"/>
          <w:color w:val="auto"/>
          <w:kern w:val="2"/>
          <w:sz w:val="22"/>
          <w:szCs w:val="24"/>
          <w:lang w:val="zh-CN"/>
          <w14:ligatures w14:val="standardContextual"/>
        </w:rPr>
        <w:id w:val="1142317531"/>
        <w:docPartObj>
          <w:docPartGallery w:val="Table of Contents"/>
          <w:docPartUnique/>
        </w:docPartObj>
      </w:sdtPr>
      <w:sdtEndPr>
        <w:rPr>
          <w:rFonts w:ascii="仿宋" w:hAnsi="仿宋" w:eastAsia="仿宋" w:cstheme="minorBidi"/>
          <w:color w:val="auto"/>
          <w:kern w:val="2"/>
          <w:sz w:val="24"/>
          <w:szCs w:val="24"/>
          <w:lang w:val="zh-CN"/>
          <w14:ligatures w14:val="standardContextual"/>
        </w:rPr>
      </w:sdtEndPr>
      <w:sdtContent>
        <w:p>
          <w:pPr>
            <w:pStyle w:val="261"/>
            <w:jc w:val="center"/>
            <w:rPr>
              <w:rFonts w:hint="eastAsia" w:ascii="仿宋" w:hAnsi="仿宋" w:eastAsia="仿宋"/>
              <w:b/>
              <w:bCs/>
              <w:color w:val="auto"/>
              <w:sz w:val="24"/>
              <w:szCs w:val="24"/>
            </w:rPr>
          </w:pPr>
          <w:r>
            <w:rPr>
              <w:rFonts w:ascii="仿宋" w:hAnsi="仿宋" w:eastAsia="仿宋"/>
              <w:b/>
              <w:bCs/>
              <w:color w:val="auto"/>
              <w:sz w:val="24"/>
              <w:szCs w:val="24"/>
              <w:lang w:val="zh-CN"/>
            </w:rPr>
            <w:t>目录</w:t>
          </w:r>
        </w:p>
        <w:p>
          <w:pPr>
            <w:pStyle w:val="59"/>
            <w:tabs>
              <w:tab w:val="right" w:leader="dot" w:pos="8296"/>
            </w:tabs>
            <w:spacing w:line="240" w:lineRule="auto"/>
            <w:rPr>
              <w:rStyle w:val="242"/>
              <w:rFonts w:hint="eastAsia" w:ascii="仿宋" w:hAnsi="仿宋" w:eastAsia="仿宋"/>
              <w:sz w:val="24"/>
            </w:rPr>
          </w:pPr>
          <w:r>
            <w:rPr>
              <w:rStyle w:val="242"/>
              <w:rFonts w:ascii="仿宋" w:hAnsi="仿宋" w:eastAsia="仿宋"/>
              <w:sz w:val="24"/>
            </w:rPr>
            <w:fldChar w:fldCharType="begin"/>
          </w:r>
          <w:r>
            <w:rPr>
              <w:rStyle w:val="242"/>
              <w:rFonts w:ascii="仿宋" w:hAnsi="仿宋" w:eastAsia="仿宋"/>
              <w:sz w:val="24"/>
            </w:rPr>
            <w:instrText xml:space="preserve"> TOC \o "1-3" \h \z \u </w:instrText>
          </w:r>
          <w:r>
            <w:rPr>
              <w:rStyle w:val="242"/>
              <w:rFonts w:ascii="仿宋" w:hAnsi="仿宋" w:eastAsia="仿宋"/>
              <w:sz w:val="24"/>
            </w:rPr>
            <w:fldChar w:fldCharType="separate"/>
          </w:r>
          <w:r>
            <w:fldChar w:fldCharType="begin"/>
          </w:r>
          <w:r>
            <w:instrText xml:space="preserve"> HYPERLINK \l "_Toc208903634" </w:instrText>
          </w:r>
          <w:r>
            <w:fldChar w:fldCharType="separate"/>
          </w:r>
          <w:r>
            <w:rPr>
              <w:rStyle w:val="242"/>
              <w:rFonts w:hint="eastAsia" w:ascii="仿宋" w:hAnsi="仿宋" w:eastAsia="仿宋"/>
              <w:sz w:val="24"/>
            </w:rPr>
            <w:t>一、项目概况</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_Toc208903634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1</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"_Toc208903635" </w:instrText>
          </w:r>
          <w:r>
            <w:fldChar w:fldCharType="separate"/>
          </w:r>
          <w:r>
            <w:rPr>
              <w:rStyle w:val="242"/>
              <w:rFonts w:hint="eastAsia" w:ascii="仿宋" w:hAnsi="仿宋" w:eastAsia="仿宋"/>
              <w:sz w:val="24"/>
            </w:rPr>
            <w:t>（一）项目背景</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_Toc208903635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1</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"_Toc208903636" </w:instrText>
          </w:r>
          <w:r>
            <w:fldChar w:fldCharType="separate"/>
          </w:r>
          <w:r>
            <w:rPr>
              <w:rStyle w:val="242"/>
              <w:rFonts w:hint="eastAsia" w:ascii="仿宋" w:hAnsi="仿宋" w:eastAsia="仿宋"/>
              <w:sz w:val="24"/>
            </w:rPr>
            <w:t>（二）作用和意义</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_Toc208903636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1</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"_Toc208903637" </w:instrText>
          </w:r>
          <w:r>
            <w:fldChar w:fldCharType="separate"/>
          </w:r>
          <w:r>
            <w:rPr>
              <w:rStyle w:val="242"/>
              <w:rFonts w:hint="eastAsia" w:ascii="仿宋" w:hAnsi="仿宋" w:eastAsia="仿宋"/>
              <w:sz w:val="24"/>
            </w:rPr>
            <w:t>（三）项目的内容</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_Toc208903637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"_Toc208903638" </w:instrText>
          </w:r>
          <w:r>
            <w:fldChar w:fldCharType="separate"/>
          </w:r>
          <w:r>
            <w:rPr>
              <w:rStyle w:val="242"/>
              <w:rFonts w:hint="eastAsia" w:ascii="仿宋" w:hAnsi="仿宋" w:eastAsia="仿宋"/>
              <w:sz w:val="24"/>
            </w:rPr>
            <w:t>1.就业补助金专项资金的用途</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_Toc208903638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"_Toc208903639" </w:instrText>
          </w:r>
          <w:r>
            <w:fldChar w:fldCharType="separate"/>
          </w:r>
          <w:r>
            <w:rPr>
              <w:rStyle w:val="242"/>
              <w:rFonts w:hint="eastAsia" w:ascii="仿宋" w:hAnsi="仿宋" w:eastAsia="仿宋"/>
              <w:sz w:val="24"/>
            </w:rPr>
            <w:t>2.预算编制、批复和执行</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_Toc208903639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59"/>
            <w:tabs>
              <w:tab w:val="right" w:leader="dot" w:pos="8296"/>
            </w:tabs>
            <w:spacing w:line="240" w:lineRule="auto"/>
            <w:rPr>
              <w:rStyle w:val="242"/>
              <w:rFonts w:hint="eastAsia" w:ascii="仿宋" w:hAnsi="仿宋" w:eastAsia="仿宋"/>
              <w:sz w:val="24"/>
            </w:rPr>
          </w:pPr>
          <w:r>
            <w:fldChar w:fldCharType="begin"/>
          </w:r>
          <w:r>
            <w:instrText xml:space="preserve"> HYPERLINK \l "_Toc208903640" </w:instrText>
          </w:r>
          <w:r>
            <w:fldChar w:fldCharType="separate"/>
          </w:r>
          <w:r>
            <w:rPr>
              <w:rStyle w:val="242"/>
              <w:rFonts w:hint="eastAsia" w:ascii="仿宋" w:hAnsi="仿宋" w:eastAsia="仿宋"/>
              <w:sz w:val="24"/>
            </w:rPr>
            <w:t>二、项目实施情况</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_Toc208903640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"_Toc208903641" </w:instrText>
          </w:r>
          <w:r>
            <w:fldChar w:fldCharType="separate"/>
          </w:r>
          <w:r>
            <w:rPr>
              <w:rStyle w:val="242"/>
              <w:rFonts w:hint="eastAsia" w:ascii="仿宋" w:hAnsi="仿宋" w:eastAsia="仿宋"/>
              <w:sz w:val="24"/>
            </w:rPr>
            <w:t>（一）资金来源及使用情况</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_Toc208903641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"_Toc208903642" </w:instrText>
          </w:r>
          <w:r>
            <w:fldChar w:fldCharType="separate"/>
          </w:r>
          <w:r>
            <w:rPr>
              <w:rStyle w:val="242"/>
              <w:rFonts w:hint="eastAsia" w:ascii="仿宋" w:hAnsi="仿宋" w:eastAsia="仿宋"/>
              <w:sz w:val="24"/>
            </w:rPr>
            <w:t>（二）实施组织及管理情况</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_Toc208903642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5</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"_Toc208903643" </w:instrText>
          </w:r>
          <w:r>
            <w:fldChar w:fldCharType="separate"/>
          </w:r>
          <w:r>
            <w:rPr>
              <w:rStyle w:val="242"/>
              <w:rFonts w:hint="eastAsia" w:ascii="仿宋" w:hAnsi="仿宋" w:eastAsia="仿宋"/>
              <w:sz w:val="24"/>
            </w:rPr>
            <w:t>（三）总体目标</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_Toc208903643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5</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59"/>
            <w:tabs>
              <w:tab w:val="right" w:leader="dot" w:pos="8296"/>
            </w:tabs>
            <w:spacing w:line="240" w:lineRule="auto"/>
            <w:rPr>
              <w:rStyle w:val="242"/>
              <w:rFonts w:hint="eastAsia" w:ascii="仿宋" w:hAnsi="仿宋" w:eastAsia="仿宋"/>
              <w:sz w:val="24"/>
            </w:rPr>
          </w:pPr>
          <w:r>
            <w:fldChar w:fldCharType="begin"/>
          </w:r>
          <w:r>
            <w:instrText xml:space="preserve"> HYPERLINK \l "_Toc208903644" </w:instrText>
          </w:r>
          <w:r>
            <w:fldChar w:fldCharType="separate"/>
          </w:r>
          <w:r>
            <w:rPr>
              <w:rStyle w:val="242"/>
              <w:rFonts w:hint="eastAsia" w:ascii="仿宋" w:hAnsi="仿宋" w:eastAsia="仿宋"/>
              <w:sz w:val="24"/>
            </w:rPr>
            <w:t>三、绩效评价工作开展情况</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_Toc208903644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6</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"_Toc208903645" </w:instrText>
          </w:r>
          <w:r>
            <w:fldChar w:fldCharType="separate"/>
          </w:r>
          <w:r>
            <w:rPr>
              <w:rStyle w:val="242"/>
              <w:rFonts w:hint="eastAsia" w:ascii="仿宋" w:hAnsi="仿宋" w:eastAsia="仿宋"/>
              <w:sz w:val="24"/>
            </w:rPr>
            <w:t>（一）绩效评价目的和作用</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_Toc208903645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6</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"_Toc208903646" </w:instrText>
          </w:r>
          <w:r>
            <w:fldChar w:fldCharType="separate"/>
          </w:r>
          <w:r>
            <w:rPr>
              <w:rStyle w:val="242"/>
              <w:rFonts w:hint="eastAsia" w:ascii="仿宋" w:hAnsi="仿宋" w:eastAsia="仿宋"/>
              <w:sz w:val="24"/>
            </w:rPr>
            <w:t>（二）评价对象和范围</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_Toc208903646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6</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"_Toc208903647" </w:instrText>
          </w:r>
          <w:r>
            <w:fldChar w:fldCharType="separate"/>
          </w:r>
          <w:r>
            <w:rPr>
              <w:rStyle w:val="242"/>
              <w:rFonts w:hint="eastAsia" w:ascii="仿宋" w:hAnsi="仿宋" w:eastAsia="仿宋"/>
              <w:sz w:val="24"/>
            </w:rPr>
            <w:t>（三）绩效评价依据</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_Toc208903647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6</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"_Toc208903648" </w:instrText>
          </w:r>
          <w:r>
            <w:fldChar w:fldCharType="separate"/>
          </w:r>
          <w:r>
            <w:rPr>
              <w:rStyle w:val="242"/>
              <w:rFonts w:hint="eastAsia" w:ascii="仿宋" w:hAnsi="仿宋" w:eastAsia="仿宋"/>
              <w:sz w:val="24"/>
            </w:rPr>
            <w:t>（四）绩效评价原则</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_Toc208903648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7</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"_Toc208903649" </w:instrText>
          </w:r>
          <w:r>
            <w:fldChar w:fldCharType="separate"/>
          </w:r>
          <w:r>
            <w:rPr>
              <w:rStyle w:val="242"/>
              <w:rFonts w:hint="eastAsia" w:ascii="仿宋" w:hAnsi="仿宋" w:eastAsia="仿宋"/>
              <w:sz w:val="24"/>
            </w:rPr>
            <w:t>（五）绩效评价方法</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_Toc208903649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8</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"_Toc208903650" </w:instrText>
          </w:r>
          <w:r>
            <w:fldChar w:fldCharType="separate"/>
          </w:r>
          <w:r>
            <w:rPr>
              <w:rStyle w:val="242"/>
              <w:rFonts w:hint="eastAsia" w:ascii="仿宋" w:hAnsi="仿宋" w:eastAsia="仿宋"/>
              <w:sz w:val="24"/>
            </w:rPr>
            <w:t>（六）绩效评价过程</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_Toc208903650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8</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"_Toc208903651" </w:instrText>
          </w:r>
          <w:r>
            <w:fldChar w:fldCharType="separate"/>
          </w:r>
          <w:r>
            <w:rPr>
              <w:rStyle w:val="242"/>
              <w:rFonts w:hint="eastAsia" w:ascii="仿宋" w:hAnsi="仿宋" w:eastAsia="仿宋"/>
              <w:sz w:val="24"/>
            </w:rPr>
            <w:t>（七）绩效评价指标体系</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_Toc208903651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9</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59"/>
            <w:tabs>
              <w:tab w:val="right" w:leader="dot" w:pos="8296"/>
            </w:tabs>
            <w:spacing w:line="240" w:lineRule="auto"/>
            <w:rPr>
              <w:rStyle w:val="242"/>
              <w:rFonts w:hint="eastAsia" w:ascii="仿宋" w:hAnsi="仿宋" w:eastAsia="仿宋"/>
              <w:sz w:val="24"/>
            </w:rPr>
          </w:pPr>
          <w:r>
            <w:fldChar w:fldCharType="begin"/>
          </w:r>
          <w:r>
            <w:instrText xml:space="preserve"> HYPERLINK \l "_Toc208903652" </w:instrText>
          </w:r>
          <w:r>
            <w:fldChar w:fldCharType="separate"/>
          </w:r>
          <w:r>
            <w:rPr>
              <w:rStyle w:val="242"/>
              <w:rFonts w:hint="eastAsia" w:ascii="仿宋" w:hAnsi="仿宋" w:eastAsia="仿宋"/>
              <w:sz w:val="24"/>
            </w:rPr>
            <w:t>四、综合评价情况及评价结论</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_Toc208903652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14</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"_Toc208903653" </w:instrText>
          </w:r>
          <w:r>
            <w:fldChar w:fldCharType="separate"/>
          </w:r>
          <w:r>
            <w:rPr>
              <w:rStyle w:val="242"/>
              <w:rFonts w:hint="eastAsia" w:ascii="仿宋" w:hAnsi="仿宋" w:eastAsia="仿宋"/>
              <w:sz w:val="24"/>
            </w:rPr>
            <w:t>（一）项目决策投入情况（权重为15%，得分14分）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_Toc208903653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14</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"_Toc208903654" </w:instrText>
          </w:r>
          <w:r>
            <w:fldChar w:fldCharType="separate"/>
          </w:r>
          <w:r>
            <w:rPr>
              <w:rStyle w:val="242"/>
              <w:rFonts w:hint="eastAsia" w:ascii="仿宋" w:hAnsi="仿宋" w:eastAsia="仿宋"/>
              <w:sz w:val="24"/>
            </w:rPr>
            <w:t>1.项目立项（分值为5分）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_Toc208903654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15</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"_Toc208903655" </w:instrText>
          </w:r>
          <w:r>
            <w:fldChar w:fldCharType="separate"/>
          </w:r>
          <w:r>
            <w:rPr>
              <w:rStyle w:val="242"/>
              <w:rFonts w:hint="eastAsia" w:ascii="仿宋" w:hAnsi="仿宋" w:eastAsia="仿宋"/>
              <w:sz w:val="24"/>
            </w:rPr>
            <w:t>2.绩效目标（分值为6分）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_Toc208903655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15</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"_Toc208903656" </w:instrText>
          </w:r>
          <w:r>
            <w:fldChar w:fldCharType="separate"/>
          </w:r>
          <w:r>
            <w:rPr>
              <w:rStyle w:val="242"/>
              <w:rFonts w:hint="eastAsia" w:ascii="仿宋" w:hAnsi="仿宋" w:eastAsia="仿宋"/>
              <w:sz w:val="24"/>
            </w:rPr>
            <w:t>3.资金投入（分值为4分）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_Toc208903656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16</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"_Toc208903657" </w:instrText>
          </w:r>
          <w:r>
            <w:fldChar w:fldCharType="separate"/>
          </w:r>
          <w:r>
            <w:rPr>
              <w:rStyle w:val="242"/>
              <w:rFonts w:hint="eastAsia" w:ascii="仿宋" w:hAnsi="仿宋" w:eastAsia="仿宋"/>
              <w:sz w:val="24"/>
            </w:rPr>
            <w:t>（二）项目过程情况（权重为24%，得分19分）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_Toc208903657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17</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"_Toc208903658" </w:instrText>
          </w:r>
          <w:r>
            <w:fldChar w:fldCharType="separate"/>
          </w:r>
          <w:r>
            <w:rPr>
              <w:rStyle w:val="242"/>
              <w:rFonts w:hint="eastAsia" w:ascii="仿宋" w:hAnsi="仿宋" w:eastAsia="仿宋"/>
              <w:sz w:val="24"/>
            </w:rPr>
            <w:t>1.绩效管理（10分）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_Toc208903658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17</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"_Toc208903659" </w:instrText>
          </w:r>
          <w:r>
            <w:fldChar w:fldCharType="separate"/>
          </w:r>
          <w:r>
            <w:rPr>
              <w:rStyle w:val="242"/>
              <w:rFonts w:hint="eastAsia" w:ascii="仿宋" w:hAnsi="仿宋" w:eastAsia="仿宋"/>
              <w:sz w:val="24"/>
            </w:rPr>
            <w:t>2.组织实施（14分）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_Toc208903659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19</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"_Toc208903660" </w:instrText>
          </w:r>
          <w:r>
            <w:fldChar w:fldCharType="separate"/>
          </w:r>
          <w:r>
            <w:rPr>
              <w:rStyle w:val="242"/>
              <w:rFonts w:hint="eastAsia" w:ascii="仿宋" w:hAnsi="仿宋" w:eastAsia="仿宋"/>
              <w:sz w:val="24"/>
            </w:rPr>
            <w:t>（三）项目产出情况（权重为37%，得分35分）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_Toc208903660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21</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"_Toc208903661" </w:instrText>
          </w:r>
          <w:r>
            <w:fldChar w:fldCharType="separate"/>
          </w:r>
          <w:r>
            <w:rPr>
              <w:rStyle w:val="242"/>
              <w:rFonts w:hint="eastAsia" w:ascii="仿宋" w:hAnsi="仿宋" w:eastAsia="仿宋"/>
              <w:sz w:val="24"/>
            </w:rPr>
            <w:t>1.产出数量（分值为22分）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_Toc208903661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21</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"_Toc208903662" </w:instrText>
          </w:r>
          <w:r>
            <w:fldChar w:fldCharType="separate"/>
          </w:r>
          <w:r>
            <w:rPr>
              <w:rStyle w:val="242"/>
              <w:rFonts w:hint="eastAsia" w:ascii="仿宋" w:hAnsi="仿宋" w:eastAsia="仿宋"/>
              <w:sz w:val="24"/>
            </w:rPr>
            <w:t>2.产出质量（分值为11分）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_Toc208903662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23</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"_Toc208903663" </w:instrText>
          </w:r>
          <w:r>
            <w:fldChar w:fldCharType="separate"/>
          </w:r>
          <w:r>
            <w:rPr>
              <w:rStyle w:val="242"/>
              <w:rFonts w:hint="eastAsia" w:ascii="仿宋" w:hAnsi="仿宋" w:eastAsia="仿宋"/>
              <w:sz w:val="24"/>
            </w:rPr>
            <w:t>3.产出成本（分值为4分）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_Toc208903663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24</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"_Toc208903664" </w:instrText>
          </w:r>
          <w:r>
            <w:fldChar w:fldCharType="separate"/>
          </w:r>
          <w:r>
            <w:rPr>
              <w:rStyle w:val="242"/>
              <w:rFonts w:hint="eastAsia" w:ascii="仿宋" w:hAnsi="仿宋" w:eastAsia="仿宋"/>
              <w:sz w:val="24"/>
            </w:rPr>
            <w:t>（四）项目效益情况（权重为24%，得分21分）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_Toc208903664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24</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"_Toc208903665" </w:instrText>
          </w:r>
          <w:r>
            <w:fldChar w:fldCharType="separate"/>
          </w:r>
          <w:r>
            <w:rPr>
              <w:rStyle w:val="242"/>
              <w:rFonts w:hint="eastAsia" w:ascii="仿宋" w:hAnsi="仿宋" w:eastAsia="仿宋"/>
              <w:sz w:val="24"/>
            </w:rPr>
            <w:t>1.社会效益（15分）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_Toc208903665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25</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"_Toc208903666" </w:instrText>
          </w:r>
          <w:r>
            <w:fldChar w:fldCharType="separate"/>
          </w:r>
          <w:r>
            <w:rPr>
              <w:rStyle w:val="242"/>
              <w:rFonts w:hint="eastAsia" w:ascii="仿宋" w:hAnsi="仿宋" w:eastAsia="仿宋"/>
              <w:sz w:val="24"/>
            </w:rPr>
            <w:t>2.可持续性指标（6分）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_Toc208903666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26</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44"/>
            <w:tabs>
              <w:tab w:val="right" w:leader="dot" w:pos="8296"/>
            </w:tabs>
            <w:spacing w:line="240" w:lineRule="auto"/>
            <w:ind w:left="880"/>
            <w:rPr>
              <w:rStyle w:val="242"/>
              <w:rFonts w:hint="eastAsia" w:ascii="仿宋" w:hAnsi="仿宋" w:eastAsia="仿宋"/>
              <w:sz w:val="24"/>
            </w:rPr>
          </w:pPr>
          <w:r>
            <w:fldChar w:fldCharType="begin"/>
          </w:r>
          <w:r>
            <w:instrText xml:space="preserve"> HYPERLINK \l "_Toc208903667" </w:instrText>
          </w:r>
          <w:r>
            <w:fldChar w:fldCharType="separate"/>
          </w:r>
          <w:r>
            <w:rPr>
              <w:rStyle w:val="242"/>
              <w:rFonts w:hint="eastAsia" w:ascii="仿宋" w:hAnsi="仿宋" w:eastAsia="仿宋"/>
              <w:sz w:val="24"/>
            </w:rPr>
            <w:t>3.满意度指标（3分）</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_Toc208903667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27</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"_Toc208903668" </w:instrText>
          </w:r>
          <w:r>
            <w:fldChar w:fldCharType="separate"/>
          </w:r>
          <w:r>
            <w:rPr>
              <w:rStyle w:val="242"/>
              <w:rFonts w:hint="eastAsia" w:ascii="仿宋" w:hAnsi="仿宋" w:eastAsia="仿宋"/>
              <w:sz w:val="24"/>
            </w:rPr>
            <w:t>（五）主要成效</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_Toc208903668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27</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"_Toc208903669" </w:instrText>
          </w:r>
          <w:r>
            <w:fldChar w:fldCharType="separate"/>
          </w:r>
          <w:r>
            <w:rPr>
              <w:rStyle w:val="242"/>
              <w:rFonts w:hint="eastAsia" w:ascii="仿宋" w:hAnsi="仿宋" w:eastAsia="仿宋"/>
              <w:sz w:val="24"/>
            </w:rPr>
            <w:t>（六）绩效评价结论</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_Toc208903669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29</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59"/>
            <w:tabs>
              <w:tab w:val="right" w:leader="dot" w:pos="8296"/>
            </w:tabs>
            <w:spacing w:line="240" w:lineRule="auto"/>
            <w:rPr>
              <w:rStyle w:val="242"/>
              <w:rFonts w:hint="eastAsia" w:ascii="仿宋" w:hAnsi="仿宋" w:eastAsia="仿宋"/>
              <w:sz w:val="24"/>
            </w:rPr>
          </w:pPr>
          <w:r>
            <w:fldChar w:fldCharType="begin"/>
          </w:r>
          <w:r>
            <w:instrText xml:space="preserve"> HYPERLINK \l "_Toc208903670" </w:instrText>
          </w:r>
          <w:r>
            <w:fldChar w:fldCharType="separate"/>
          </w:r>
          <w:r>
            <w:rPr>
              <w:rStyle w:val="242"/>
              <w:rFonts w:hint="eastAsia" w:ascii="仿宋" w:hAnsi="仿宋" w:eastAsia="仿宋"/>
              <w:sz w:val="24"/>
            </w:rPr>
            <w:t>五、存在的问题</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_Toc208903670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29</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"_Toc208903671" </w:instrText>
          </w:r>
          <w:r>
            <w:fldChar w:fldCharType="separate"/>
          </w:r>
          <w:r>
            <w:rPr>
              <w:rStyle w:val="242"/>
              <w:rFonts w:hint="eastAsia" w:ascii="仿宋" w:hAnsi="仿宋" w:eastAsia="仿宋"/>
              <w:sz w:val="24"/>
            </w:rPr>
            <w:t>（一）绩效目标设置不合理，绩效自评有待加强</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_Toc208903671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29</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"_Toc208903672" </w:instrText>
          </w:r>
          <w:r>
            <w:fldChar w:fldCharType="separate"/>
          </w:r>
          <w:r>
            <w:rPr>
              <w:rStyle w:val="242"/>
              <w:rFonts w:hint="eastAsia" w:ascii="仿宋" w:hAnsi="仿宋" w:eastAsia="仿宋"/>
              <w:sz w:val="24"/>
            </w:rPr>
            <w:t>（二）管理制度不健全，电子台账的建立待完善</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_Toc208903672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30</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"_Toc208903673" </w:instrText>
          </w:r>
          <w:r>
            <w:fldChar w:fldCharType="separate"/>
          </w:r>
          <w:r>
            <w:rPr>
              <w:rStyle w:val="242"/>
              <w:rFonts w:hint="eastAsia" w:ascii="仿宋" w:hAnsi="仿宋" w:eastAsia="仿宋"/>
              <w:sz w:val="24"/>
            </w:rPr>
            <w:t>（三）补贴后的跟踪回访工作不足</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_Toc208903673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30</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"_Toc208903674" </w:instrText>
          </w:r>
          <w:r>
            <w:fldChar w:fldCharType="separate"/>
          </w:r>
          <w:r>
            <w:rPr>
              <w:rStyle w:val="242"/>
              <w:rFonts w:hint="eastAsia" w:ascii="仿宋" w:hAnsi="仿宋" w:eastAsia="仿宋"/>
              <w:sz w:val="24"/>
            </w:rPr>
            <w:t>（四）现场核查率有待加强</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_Toc208903674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30</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59"/>
            <w:tabs>
              <w:tab w:val="right" w:leader="dot" w:pos="8296"/>
            </w:tabs>
            <w:spacing w:line="240" w:lineRule="auto"/>
            <w:rPr>
              <w:rStyle w:val="242"/>
              <w:rFonts w:hint="eastAsia" w:ascii="仿宋" w:hAnsi="仿宋" w:eastAsia="仿宋"/>
              <w:sz w:val="24"/>
            </w:rPr>
          </w:pPr>
          <w:r>
            <w:fldChar w:fldCharType="begin"/>
          </w:r>
          <w:r>
            <w:instrText xml:space="preserve"> HYPERLINK \l "_Toc208903675" </w:instrText>
          </w:r>
          <w:r>
            <w:fldChar w:fldCharType="separate"/>
          </w:r>
          <w:r>
            <w:rPr>
              <w:rStyle w:val="242"/>
              <w:rFonts w:hint="eastAsia" w:ascii="仿宋" w:hAnsi="仿宋" w:eastAsia="仿宋"/>
              <w:sz w:val="24"/>
            </w:rPr>
            <w:t>六、有关建议</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_Toc208903675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30</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"_Toc208903676" </w:instrText>
          </w:r>
          <w:r>
            <w:fldChar w:fldCharType="separate"/>
          </w:r>
          <w:r>
            <w:rPr>
              <w:rStyle w:val="242"/>
              <w:rFonts w:hint="eastAsia" w:ascii="仿宋" w:hAnsi="仿宋" w:eastAsia="仿宋"/>
              <w:sz w:val="24"/>
            </w:rPr>
            <w:t>（一）加强绩效指标设置能力，提高绩效自评水平</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_Toc208903676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30</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"_Toc208903677" </w:instrText>
          </w:r>
          <w:r>
            <w:fldChar w:fldCharType="separate"/>
          </w:r>
          <w:r>
            <w:rPr>
              <w:rStyle w:val="242"/>
              <w:rFonts w:hint="eastAsia" w:ascii="仿宋" w:hAnsi="仿宋" w:eastAsia="仿宋"/>
              <w:sz w:val="24"/>
            </w:rPr>
            <w:t>（二）完善相关管理制度，加强电子台账的建立</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_Toc208903677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31</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"_Toc208903678" </w:instrText>
          </w:r>
          <w:r>
            <w:fldChar w:fldCharType="separate"/>
          </w:r>
          <w:r>
            <w:rPr>
              <w:rStyle w:val="242"/>
              <w:rFonts w:hint="eastAsia" w:ascii="仿宋" w:hAnsi="仿宋" w:eastAsia="仿宋"/>
              <w:sz w:val="24"/>
            </w:rPr>
            <w:t>（三）加强补贴后的跟踪回访，提高补贴社会效益</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_Toc208903678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31</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74"/>
            <w:tabs>
              <w:tab w:val="right" w:leader="dot" w:pos="8296"/>
            </w:tabs>
            <w:spacing w:line="240" w:lineRule="auto"/>
            <w:ind w:left="440"/>
            <w:rPr>
              <w:rStyle w:val="242"/>
              <w:rFonts w:hint="eastAsia" w:ascii="仿宋" w:hAnsi="仿宋" w:eastAsia="仿宋"/>
              <w:sz w:val="24"/>
            </w:rPr>
          </w:pPr>
          <w:r>
            <w:fldChar w:fldCharType="begin"/>
          </w:r>
          <w:r>
            <w:instrText xml:space="preserve"> HYPERLINK \l "_Toc208903679" </w:instrText>
          </w:r>
          <w:r>
            <w:fldChar w:fldCharType="separate"/>
          </w:r>
          <w:r>
            <w:rPr>
              <w:rStyle w:val="242"/>
              <w:rFonts w:hint="eastAsia" w:ascii="仿宋" w:hAnsi="仿宋" w:eastAsia="仿宋"/>
              <w:sz w:val="24"/>
            </w:rPr>
            <w:t>（四）加强现场核查力度</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_Toc208903679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31</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59"/>
            <w:tabs>
              <w:tab w:val="right" w:leader="dot" w:pos="8296"/>
            </w:tabs>
            <w:spacing w:line="240" w:lineRule="auto"/>
            <w:rPr>
              <w:rStyle w:val="242"/>
              <w:rFonts w:hint="eastAsia" w:ascii="仿宋" w:hAnsi="仿宋" w:eastAsia="仿宋"/>
              <w:sz w:val="24"/>
            </w:rPr>
          </w:pPr>
          <w:r>
            <w:fldChar w:fldCharType="begin"/>
          </w:r>
          <w:r>
            <w:instrText xml:space="preserve"> HYPERLINK \l "_Toc208903680" </w:instrText>
          </w:r>
          <w:r>
            <w:fldChar w:fldCharType="separate"/>
          </w:r>
          <w:r>
            <w:rPr>
              <w:rStyle w:val="242"/>
              <w:rFonts w:hint="eastAsia" w:ascii="仿宋" w:hAnsi="仿宋" w:eastAsia="仿宋"/>
              <w:sz w:val="24"/>
            </w:rPr>
            <w:t>七、其他需要说明的问题</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_Toc208903680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31</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59"/>
            <w:tabs>
              <w:tab w:val="right" w:leader="dot" w:pos="8296"/>
            </w:tabs>
            <w:spacing w:line="240" w:lineRule="auto"/>
            <w:rPr>
              <w:rStyle w:val="242"/>
              <w:rFonts w:hint="eastAsia" w:ascii="仿宋" w:hAnsi="仿宋" w:eastAsia="仿宋"/>
              <w:sz w:val="24"/>
            </w:rPr>
          </w:pPr>
          <w:r>
            <w:fldChar w:fldCharType="begin"/>
          </w:r>
          <w:r>
            <w:instrText xml:space="preserve"> HYPERLINK \l "_Toc208903681" </w:instrText>
          </w:r>
          <w:r>
            <w:fldChar w:fldCharType="separate"/>
          </w:r>
          <w:r>
            <w:rPr>
              <w:rStyle w:val="242"/>
              <w:rFonts w:hint="eastAsia" w:ascii="仿宋" w:hAnsi="仿宋" w:eastAsia="仿宋"/>
              <w:sz w:val="24"/>
            </w:rPr>
            <w:t>附件一：调查问卷</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_Toc208903681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33</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59"/>
            <w:tabs>
              <w:tab w:val="right" w:leader="dot" w:pos="8296"/>
            </w:tabs>
            <w:spacing w:line="240" w:lineRule="auto"/>
            <w:rPr>
              <w:rStyle w:val="242"/>
              <w:rFonts w:hint="eastAsia" w:ascii="仿宋" w:hAnsi="仿宋" w:eastAsia="仿宋"/>
              <w:sz w:val="24"/>
            </w:rPr>
          </w:pPr>
          <w:r>
            <w:fldChar w:fldCharType="begin"/>
          </w:r>
          <w:r>
            <w:instrText xml:space="preserve"> HYPERLINK \l "_Toc208903682" </w:instrText>
          </w:r>
          <w:r>
            <w:fldChar w:fldCharType="separate"/>
          </w:r>
          <w:r>
            <w:rPr>
              <w:rStyle w:val="242"/>
              <w:rFonts w:hint="eastAsia" w:ascii="仿宋" w:hAnsi="仿宋" w:eastAsia="仿宋"/>
              <w:sz w:val="24"/>
            </w:rPr>
            <w:t>附件二：访谈相关照片</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_Toc208903682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34</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pStyle w:val="59"/>
            <w:tabs>
              <w:tab w:val="right" w:leader="dot" w:pos="8296"/>
            </w:tabs>
            <w:spacing w:line="240" w:lineRule="auto"/>
            <w:rPr>
              <w:rFonts w:hint="eastAsia" w:ascii="仿宋" w:hAnsi="仿宋" w:eastAsia="仿宋"/>
              <w:sz w:val="24"/>
            </w:rPr>
          </w:pPr>
          <w:r>
            <w:fldChar w:fldCharType="begin"/>
          </w:r>
          <w:r>
            <w:instrText xml:space="preserve"> HYPERLINK \l "_Toc208903683" </w:instrText>
          </w:r>
          <w:r>
            <w:fldChar w:fldCharType="separate"/>
          </w:r>
          <w:r>
            <w:rPr>
              <w:rStyle w:val="242"/>
              <w:rFonts w:hint="eastAsia" w:ascii="仿宋" w:hAnsi="仿宋" w:eastAsia="仿宋"/>
              <w:sz w:val="24"/>
            </w:rPr>
            <w:t>附件三：绩效评价指标体系及得分情况表</w:t>
          </w:r>
          <w:r>
            <w:rPr>
              <w:rStyle w:val="242"/>
              <w:rFonts w:hint="eastAsia" w:ascii="仿宋" w:hAnsi="仿宋" w:eastAsia="仿宋"/>
              <w:sz w:val="24"/>
            </w:rPr>
            <w:tab/>
          </w:r>
          <w:r>
            <w:rPr>
              <w:rStyle w:val="242"/>
              <w:rFonts w:hint="eastAsia" w:ascii="仿宋" w:hAnsi="仿宋" w:eastAsia="仿宋"/>
              <w:sz w:val="24"/>
            </w:rPr>
            <w:fldChar w:fldCharType="begin"/>
          </w:r>
          <w:r>
            <w:rPr>
              <w:rStyle w:val="242"/>
              <w:rFonts w:hint="eastAsia" w:ascii="仿宋" w:hAnsi="仿宋" w:eastAsia="仿宋"/>
              <w:sz w:val="24"/>
            </w:rPr>
            <w:instrText xml:space="preserve"> </w:instrText>
          </w:r>
          <w:r>
            <w:rPr>
              <w:rStyle w:val="242"/>
              <w:rFonts w:ascii="仿宋" w:hAnsi="仿宋" w:eastAsia="仿宋"/>
              <w:sz w:val="24"/>
            </w:rPr>
            <w:instrText xml:space="preserve">PAGEREF _Toc208903683 \h</w:instrText>
          </w:r>
          <w:r>
            <w:rPr>
              <w:rStyle w:val="242"/>
              <w:rFonts w:hint="eastAsia" w:ascii="仿宋" w:hAnsi="仿宋" w:eastAsia="仿宋"/>
              <w:sz w:val="24"/>
            </w:rPr>
            <w:instrText xml:space="preserve"> </w:instrText>
          </w:r>
          <w:r>
            <w:rPr>
              <w:rStyle w:val="242"/>
              <w:rFonts w:hint="eastAsia" w:ascii="仿宋" w:hAnsi="仿宋" w:eastAsia="仿宋"/>
              <w:sz w:val="24"/>
            </w:rPr>
            <w:fldChar w:fldCharType="separate"/>
          </w:r>
          <w:r>
            <w:rPr>
              <w:rStyle w:val="242"/>
              <w:rFonts w:hint="eastAsia" w:ascii="仿宋" w:hAnsi="仿宋" w:eastAsia="仿宋"/>
              <w:sz w:val="24"/>
            </w:rPr>
            <w:t>35</w:t>
          </w:r>
          <w:r>
            <w:rPr>
              <w:rStyle w:val="242"/>
              <w:rFonts w:hint="eastAsia" w:ascii="仿宋" w:hAnsi="仿宋" w:eastAsia="仿宋"/>
              <w:sz w:val="24"/>
            </w:rPr>
            <w:fldChar w:fldCharType="end"/>
          </w:r>
          <w:r>
            <w:rPr>
              <w:rStyle w:val="242"/>
              <w:rFonts w:hint="eastAsia" w:ascii="仿宋" w:hAnsi="仿宋" w:eastAsia="仿宋"/>
              <w:sz w:val="24"/>
            </w:rPr>
            <w:fldChar w:fldCharType="end"/>
          </w:r>
        </w:p>
        <w:p>
          <w:pPr>
            <w:spacing w:line="240" w:lineRule="auto"/>
            <w:rPr>
              <w:rFonts w:hint="eastAsia" w:ascii="仿宋" w:hAnsi="仿宋" w:eastAsia="仿宋"/>
              <w:sz w:val="24"/>
            </w:rPr>
          </w:pPr>
          <w:r>
            <w:rPr>
              <w:rStyle w:val="242"/>
              <w:rFonts w:ascii="仿宋" w:hAnsi="仿宋" w:eastAsia="仿宋"/>
              <w:sz w:val="24"/>
            </w:rPr>
            <w:fldChar w:fldCharType="end"/>
          </w:r>
        </w:p>
      </w:sdtContent>
    </w:sdt>
    <w:p>
      <w:pPr>
        <w:spacing w:after="0" w:line="360" w:lineRule="auto"/>
        <w:jc w:val="center"/>
        <w:rPr>
          <w:rFonts w:hint="eastAsia" w:ascii="宋体" w:hAnsi="宋体" w:eastAsia="宋体"/>
          <w:b/>
          <w:bCs/>
          <w:sz w:val="36"/>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after="0" w:line="408" w:lineRule="auto"/>
        <w:jc w:val="center"/>
        <w:rPr>
          <w:rFonts w:hint="eastAsia" w:ascii="仿宋" w:hAnsi="仿宋" w:eastAsia="仿宋"/>
          <w:b/>
          <w:sz w:val="28"/>
          <w:szCs w:val="44"/>
        </w:rPr>
      </w:pPr>
      <w:bookmarkStart w:id="0" w:name="_Hlk174973448"/>
      <w:r>
        <w:rPr>
          <w:rFonts w:hint="eastAsia" w:ascii="仿宋" w:hAnsi="仿宋" w:eastAsia="仿宋"/>
          <w:b/>
          <w:sz w:val="28"/>
          <w:szCs w:val="44"/>
        </w:rPr>
        <w:t>2024年德化县</w:t>
      </w:r>
      <w:bookmarkEnd w:id="0"/>
      <w:r>
        <w:rPr>
          <w:rFonts w:hint="eastAsia" w:ascii="仿宋" w:hAnsi="仿宋" w:eastAsia="仿宋"/>
          <w:b/>
          <w:sz w:val="28"/>
          <w:szCs w:val="44"/>
        </w:rPr>
        <w:t>就业补助金专项资金绩效评价报告</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为全面实施预算绩效管理，提高财政资金使用效益，建立科学、合理的财政支出绩效评价管理体系，根据德化县财政局通知要求，泉州市启程财务咨询有限公司受德化县财政局委托对2024年德化县就业补助金专项资金1,292.29万元实施绩效评价，并形成《2024年德化县就业补助金专项资金绩效评价报告》。</w:t>
      </w:r>
    </w:p>
    <w:p>
      <w:pPr>
        <w:spacing w:after="0" w:line="408" w:lineRule="auto"/>
        <w:ind w:firstLine="562" w:firstLineChars="200"/>
        <w:outlineLvl w:val="0"/>
        <w:rPr>
          <w:rFonts w:hint="eastAsia" w:ascii="仿宋" w:hAnsi="仿宋" w:eastAsia="仿宋"/>
          <w:b/>
          <w:sz w:val="28"/>
          <w:szCs w:val="21"/>
        </w:rPr>
      </w:pPr>
      <w:bookmarkStart w:id="1" w:name="_Toc208903634"/>
      <w:r>
        <w:rPr>
          <w:rFonts w:hint="eastAsia" w:ascii="仿宋" w:hAnsi="仿宋" w:eastAsia="仿宋"/>
          <w:b/>
          <w:sz w:val="28"/>
          <w:szCs w:val="21"/>
        </w:rPr>
        <w:t>一、项目概况</w:t>
      </w:r>
      <w:bookmarkEnd w:id="1"/>
    </w:p>
    <w:p>
      <w:pPr>
        <w:spacing w:after="0" w:line="408" w:lineRule="auto"/>
        <w:ind w:firstLine="562" w:firstLineChars="200"/>
        <w:jc w:val="both"/>
        <w:outlineLvl w:val="1"/>
        <w:rPr>
          <w:rFonts w:hint="eastAsia" w:ascii="仿宋" w:hAnsi="仿宋" w:eastAsia="仿宋"/>
          <w:b/>
          <w:sz w:val="28"/>
          <w:szCs w:val="21"/>
        </w:rPr>
      </w:pPr>
      <w:bookmarkStart w:id="2" w:name="_Toc208903635"/>
      <w:r>
        <w:rPr>
          <w:rFonts w:hint="eastAsia" w:ascii="仿宋" w:hAnsi="仿宋" w:eastAsia="仿宋"/>
          <w:b/>
          <w:sz w:val="28"/>
          <w:szCs w:val="21"/>
        </w:rPr>
        <w:t>（一）项目背景</w:t>
      </w:r>
      <w:bookmarkEnd w:id="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德化县关于进一步加快青年人才集聚引领支持民营经济高质量发展的若干措施》《德化县关于吸引和留住外来员工支持民营经济高质量发展的若干措施》，福建省人力资源和社会保障厅、福建省财政厅《关于印发《福建省高技能人才培训基地建设项目实施方案》的通知》（闽人社发〔2024〕1号），泉州市人力资源和社会保障局、泉州市财政局《转发福建省人力资源和社会保障厅福建省财政厅关于印发职业技能提升工程有关职业技能培训和评价补贴配套政策方案的通知》（泉人社文〔2024〕124号）等文件指示，为支持德化县加强技术工人队伍建设，打造产教评用有机融合的高质量产业技能生态链，为新型工业化提供有力的人才和技能保障，依据省委和省政府为民办实事项目有关职业技能提升基础能力建设要求。改善德化县人员就业状况，提高德化县大学生就业创业率，以优化德化县就业环境、加强人才队伍建设。2024年度就业补助金专项资金预算金额1,292.29万元</w:t>
      </w:r>
    </w:p>
    <w:p>
      <w:pPr>
        <w:spacing w:after="0" w:line="408" w:lineRule="auto"/>
        <w:ind w:firstLine="562" w:firstLineChars="200"/>
        <w:jc w:val="both"/>
        <w:outlineLvl w:val="1"/>
        <w:rPr>
          <w:rFonts w:hint="eastAsia" w:ascii="仿宋" w:hAnsi="仿宋" w:eastAsia="仿宋"/>
          <w:b/>
          <w:sz w:val="28"/>
          <w:szCs w:val="21"/>
        </w:rPr>
      </w:pPr>
      <w:bookmarkStart w:id="3" w:name="_Toc208903636"/>
      <w:r>
        <w:rPr>
          <w:rFonts w:hint="eastAsia" w:ascii="仿宋" w:hAnsi="仿宋" w:eastAsia="仿宋"/>
          <w:b/>
          <w:sz w:val="28"/>
          <w:szCs w:val="21"/>
        </w:rPr>
        <w:t>（二）作用和意义</w:t>
      </w:r>
      <w:bookmarkEnd w:id="3"/>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就业补助金的作用与意义主要体现在加强人才建设、改善就业状况、降低企业用工成本、稳定岗位以保障民生基本盘</w:t>
      </w:r>
      <w:r>
        <w:rPr>
          <w:rFonts w:hint="eastAsia" w:ascii="仿宋" w:hAnsi="仿宋" w:eastAsia="仿宋" w:cs="宋体"/>
          <w:sz w:val="28"/>
          <w:szCs w:val="21"/>
        </w:rPr>
        <w:t>。</w:t>
      </w:r>
      <w:r>
        <w:rPr>
          <w:rFonts w:ascii="仿宋" w:hAnsi="仿宋" w:eastAsia="仿宋" w:cs="Times New Roman"/>
          <w:sz w:val="28"/>
          <w:szCs w:val="21"/>
        </w:rPr>
        <w:t>‌</w:t>
      </w:r>
      <w:r>
        <w:rPr>
          <w:rFonts w:hint="eastAsia" w:ascii="仿宋" w:hAnsi="仿宋" w:eastAsia="仿宋" w:cs="Times New Roman"/>
          <w:sz w:val="28"/>
          <w:szCs w:val="21"/>
        </w:rPr>
        <w:t>具体表现如下：</w:t>
      </w:r>
    </w:p>
    <w:p>
      <w:pPr>
        <w:spacing w:after="0" w:line="408" w:lineRule="auto"/>
        <w:ind w:firstLine="560" w:firstLineChars="200"/>
        <w:jc w:val="both"/>
        <w:rPr>
          <w:rFonts w:hint="eastAsia" w:ascii="仿宋" w:hAnsi="仿宋" w:eastAsia="仿宋"/>
          <w:sz w:val="28"/>
          <w:szCs w:val="21"/>
        </w:rPr>
      </w:pPr>
      <w:r>
        <w:rPr>
          <w:rFonts w:ascii="仿宋" w:hAnsi="仿宋" w:eastAsia="仿宋"/>
          <w:sz w:val="28"/>
          <w:szCs w:val="21"/>
        </w:rPr>
        <w:t>就业补助金的核心作用在于保障民生基本盘。它通过为失业人员</w:t>
      </w:r>
      <w:r>
        <w:rPr>
          <w:rFonts w:hint="eastAsia" w:ascii="仿宋" w:hAnsi="仿宋" w:eastAsia="仿宋"/>
          <w:sz w:val="28"/>
          <w:szCs w:val="21"/>
        </w:rPr>
        <w:t>或就业困难人员</w:t>
      </w:r>
      <w:r>
        <w:rPr>
          <w:rFonts w:ascii="仿宋" w:hAnsi="仿宋" w:eastAsia="仿宋"/>
          <w:sz w:val="28"/>
          <w:szCs w:val="21"/>
        </w:rPr>
        <w:t>提供技能培训补贴和基本生活津贴，确保其在求职过渡期内的生活水平不发生严重下滑，有效防止了因失业导致的贫困，是社会稳定和谐的</w:t>
      </w:r>
      <w:r>
        <w:rPr>
          <w:rFonts w:hint="eastAsia" w:ascii="仿宋" w:hAnsi="仿宋" w:eastAsia="仿宋"/>
          <w:sz w:val="28"/>
          <w:szCs w:val="21"/>
        </w:rPr>
        <w:t>‘安全网’。</w:t>
      </w:r>
    </w:p>
    <w:p>
      <w:pPr>
        <w:spacing w:after="0" w:line="408" w:lineRule="auto"/>
        <w:ind w:firstLine="560" w:firstLineChars="200"/>
        <w:jc w:val="both"/>
        <w:rPr>
          <w:rFonts w:hint="eastAsia" w:ascii="仿宋" w:hAnsi="仿宋" w:eastAsia="仿宋"/>
          <w:sz w:val="28"/>
          <w:szCs w:val="21"/>
        </w:rPr>
      </w:pPr>
      <w:r>
        <w:rPr>
          <w:rFonts w:ascii="仿宋" w:hAnsi="仿宋" w:eastAsia="仿宋"/>
          <w:sz w:val="28"/>
          <w:szCs w:val="21"/>
        </w:rPr>
        <w:t>对企业而言，这项</w:t>
      </w:r>
      <w:r>
        <w:rPr>
          <w:rFonts w:hint="eastAsia" w:ascii="仿宋" w:hAnsi="仿宋" w:eastAsia="仿宋"/>
          <w:sz w:val="28"/>
          <w:szCs w:val="21"/>
        </w:rPr>
        <w:t>就业补助金是能够</w:t>
      </w:r>
      <w:r>
        <w:rPr>
          <w:rFonts w:ascii="仿宋" w:hAnsi="仿宋" w:eastAsia="仿宋"/>
          <w:sz w:val="28"/>
          <w:szCs w:val="21"/>
        </w:rPr>
        <w:t>降低用工成本、激发市场活力的</w:t>
      </w:r>
      <w:r>
        <w:rPr>
          <w:rFonts w:hint="eastAsia" w:ascii="仿宋" w:hAnsi="仿宋" w:eastAsia="仿宋"/>
          <w:sz w:val="28"/>
          <w:szCs w:val="21"/>
        </w:rPr>
        <w:t>‘助推器’</w:t>
      </w:r>
      <w:r>
        <w:rPr>
          <w:rFonts w:ascii="仿宋" w:hAnsi="仿宋" w:eastAsia="仿宋"/>
          <w:sz w:val="28"/>
          <w:szCs w:val="21"/>
        </w:rPr>
        <w:t>。通过社保补贴、稳岗返还和吸纳就业奖励等举措，它直接减轻了企业</w:t>
      </w:r>
      <w:r>
        <w:rPr>
          <w:rFonts w:hint="eastAsia" w:ascii="仿宋" w:hAnsi="仿宋" w:eastAsia="仿宋"/>
          <w:sz w:val="28"/>
          <w:szCs w:val="21"/>
        </w:rPr>
        <w:t>，</w:t>
      </w:r>
      <w:r>
        <w:rPr>
          <w:rFonts w:ascii="仿宋" w:hAnsi="仿宋" w:eastAsia="仿宋"/>
          <w:sz w:val="28"/>
          <w:szCs w:val="21"/>
        </w:rPr>
        <w:t>尤其是中小微企业的负担，鼓励他们创造并稳定更多工作岗位，从而从源头上扩大就业容量。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就业补助金政策能够致力于促进社会公平，为重点群体提供关键支持。它针对高校毕业生、农民工、残疾人等群体设计专项补贴，如见习补贴、创业补贴和公益性岗位安置等，为他们提供了更平等的就业机会和起跑线，助力其顺利融入劳动力市场</w:t>
      </w:r>
      <w:r>
        <w:rPr>
          <w:rFonts w:ascii="仿宋" w:hAnsi="仿宋" w:eastAsia="仿宋"/>
          <w:sz w:val="28"/>
          <w:szCs w:val="21"/>
        </w:rPr>
        <w:t>。</w:t>
      </w:r>
    </w:p>
    <w:p>
      <w:pPr>
        <w:spacing w:after="0" w:line="408" w:lineRule="auto"/>
        <w:ind w:firstLine="560" w:firstLineChars="200"/>
        <w:jc w:val="both"/>
        <w:rPr>
          <w:rFonts w:hint="eastAsia" w:ascii="仿宋" w:hAnsi="仿宋" w:eastAsia="仿宋"/>
          <w:sz w:val="28"/>
          <w:szCs w:val="21"/>
        </w:rPr>
      </w:pPr>
      <w:r>
        <w:rPr>
          <w:rFonts w:ascii="Courier New" w:hAnsi="Courier New" w:eastAsia="仿宋" w:cs="Courier New"/>
          <w:sz w:val="28"/>
          <w:szCs w:val="21"/>
        </w:rPr>
        <w:t>‌</w:t>
      </w:r>
      <w:r>
        <w:rPr>
          <w:rFonts w:ascii="仿宋" w:hAnsi="仿宋" w:eastAsia="仿宋"/>
          <w:sz w:val="28"/>
          <w:szCs w:val="21"/>
        </w:rPr>
        <w:t>从宏观经济视角看，就业补助金是维护经济平稳运行的重要工具。通过稳定就业来稳定居民收入和消费能力，为内需增长提供坚实基础。同时，它能引导人力资源流向国家战略需要的行业和地区，优化资源配置，服务于产业升级和区域发展大局。</w:t>
      </w:r>
    </w:p>
    <w:p>
      <w:pPr>
        <w:spacing w:after="0" w:line="408" w:lineRule="auto"/>
        <w:ind w:firstLine="560" w:firstLineChars="200"/>
        <w:jc w:val="both"/>
        <w:rPr>
          <w:rFonts w:hint="eastAsia" w:ascii="仿宋" w:hAnsi="仿宋" w:eastAsia="仿宋"/>
          <w:sz w:val="28"/>
          <w:szCs w:val="21"/>
        </w:rPr>
      </w:pPr>
      <w:r>
        <w:rPr>
          <w:rFonts w:ascii="仿宋" w:hAnsi="仿宋" w:eastAsia="仿宋"/>
          <w:sz w:val="28"/>
          <w:szCs w:val="21"/>
        </w:rPr>
        <w:t>最终，就业补助金展现了政府实施逆周期调节的战略意义。在经济面临下行压力或外部冲击时，它能快速、有效地发挥作用，缓冲失业风险，稳定社会预期，是政府履行经济调节与公共服务职能，实现高质量发展和社会长治久安的关键举措</w:t>
      </w:r>
      <w:r>
        <w:rPr>
          <w:rFonts w:hint="eastAsia" w:ascii="仿宋" w:hAnsi="仿宋" w:eastAsia="仿宋"/>
          <w:sz w:val="28"/>
          <w:szCs w:val="21"/>
        </w:rPr>
        <w:t>。</w:t>
      </w:r>
    </w:p>
    <w:p>
      <w:pPr>
        <w:spacing w:after="0" w:line="408" w:lineRule="auto"/>
        <w:ind w:firstLine="562" w:firstLineChars="200"/>
        <w:jc w:val="both"/>
        <w:outlineLvl w:val="1"/>
        <w:rPr>
          <w:rFonts w:hint="eastAsia" w:ascii="仿宋" w:hAnsi="仿宋" w:eastAsia="仿宋"/>
          <w:b/>
          <w:sz w:val="28"/>
          <w:szCs w:val="21"/>
        </w:rPr>
      </w:pPr>
      <w:bookmarkStart w:id="4" w:name="_Toc208903637"/>
      <w:r>
        <w:rPr>
          <w:rFonts w:hint="eastAsia" w:ascii="仿宋" w:hAnsi="仿宋" w:eastAsia="仿宋"/>
          <w:b/>
          <w:sz w:val="28"/>
          <w:szCs w:val="21"/>
        </w:rPr>
        <w:t>（三）项目的内容</w:t>
      </w:r>
      <w:bookmarkEnd w:id="4"/>
    </w:p>
    <w:p>
      <w:pPr>
        <w:spacing w:after="0" w:line="408" w:lineRule="auto"/>
        <w:ind w:firstLine="560" w:firstLineChars="200"/>
        <w:jc w:val="both"/>
        <w:outlineLvl w:val="2"/>
        <w:rPr>
          <w:rFonts w:hint="eastAsia" w:ascii="仿宋" w:hAnsi="仿宋" w:eastAsia="仿宋"/>
          <w:sz w:val="28"/>
          <w:szCs w:val="21"/>
        </w:rPr>
      </w:pPr>
      <w:bookmarkStart w:id="5" w:name="_Toc208903638"/>
      <w:r>
        <w:rPr>
          <w:rFonts w:hint="eastAsia" w:ascii="仿宋" w:hAnsi="仿宋" w:eastAsia="仿宋"/>
          <w:sz w:val="28"/>
          <w:szCs w:val="21"/>
        </w:rPr>
        <w:t>1.</w:t>
      </w:r>
      <w:bookmarkStart w:id="6" w:name="_Hlk174973894"/>
      <w:r>
        <w:rPr>
          <w:rFonts w:hint="eastAsia" w:ascii="仿宋" w:hAnsi="仿宋" w:eastAsia="仿宋"/>
          <w:sz w:val="28"/>
          <w:szCs w:val="21"/>
        </w:rPr>
        <w:t>就业补助金专项资金</w:t>
      </w:r>
      <w:bookmarkEnd w:id="6"/>
      <w:r>
        <w:rPr>
          <w:rFonts w:hint="eastAsia" w:ascii="仿宋" w:hAnsi="仿宋" w:eastAsia="仿宋"/>
          <w:sz w:val="28"/>
          <w:szCs w:val="21"/>
        </w:rPr>
        <w:t>的用途</w:t>
      </w:r>
      <w:bookmarkEnd w:id="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德化县关于进一步加快青年人才集聚引领支持民营经济高质量发展的若干措施》《德化县关于吸引和留住外来员工支持民营经济高质量发展的若干措施》，福建省人力资源和社会保障厅、福建省财政厅《关于印发《福建省高技能人才培训基地建设项目实施方案》的通知》（闽人社发〔2024〕1号），泉州市人力资源和社会保障局、泉州市财政局《转发福建省人力资源和社会保障厅福建省财政厅关于印发职业技能提升工程有关职业技能培训和评价补贴配套政策方案的通知》（泉人社文〔2024〕124号）等各类就业补助金文件的要求，就业补助金主要用于政府购买基层公共管理和社会服务岗位补助、失业信息动态监测调查统计补助、产业实训基地补助资金、一次性省内外劳务合作补助、职业技能培训一次性生活费补贴、企业招用就业困难人员社会保险补贴、技能大师工作室一次性补助、一次性稳定就业奖补、见证补贴、公益性岗位补贴、就业见习岗位补贴、零工市场和零工驿站一次性运维补助、初创企业经营者素质提升高级研修班、大学生生活补贴及一次性生活补助资金、省级高技能人才培训基地项目等。</w:t>
      </w:r>
    </w:p>
    <w:p>
      <w:pPr>
        <w:spacing w:after="0" w:line="408" w:lineRule="auto"/>
        <w:ind w:firstLine="560" w:firstLineChars="200"/>
        <w:jc w:val="both"/>
        <w:outlineLvl w:val="2"/>
        <w:rPr>
          <w:rFonts w:hint="eastAsia" w:ascii="仿宋" w:hAnsi="仿宋" w:eastAsia="仿宋"/>
          <w:sz w:val="28"/>
          <w:szCs w:val="21"/>
        </w:rPr>
      </w:pPr>
      <w:bookmarkStart w:id="7" w:name="_Toc208903639"/>
      <w:r>
        <w:rPr>
          <w:rFonts w:hint="eastAsia" w:ascii="仿宋" w:hAnsi="仿宋" w:eastAsia="仿宋"/>
          <w:sz w:val="28"/>
          <w:szCs w:val="21"/>
        </w:rPr>
        <w:t>2.预算编制、批复和执行</w:t>
      </w:r>
      <w:bookmarkEnd w:id="7"/>
    </w:p>
    <w:p>
      <w:pPr>
        <w:spacing w:after="0" w:line="408" w:lineRule="auto"/>
        <w:ind w:firstLine="560" w:firstLineChars="200"/>
        <w:jc w:val="both"/>
        <w:rPr>
          <w:rFonts w:hint="eastAsia" w:ascii="仿宋" w:hAnsi="仿宋" w:eastAsia="仿宋"/>
          <w:sz w:val="28"/>
          <w:szCs w:val="21"/>
        </w:rPr>
      </w:pPr>
      <w:bookmarkStart w:id="8" w:name="_Hlk207620341"/>
      <w:r>
        <w:rPr>
          <w:rFonts w:hint="eastAsia" w:ascii="仿宋" w:hAnsi="仿宋" w:eastAsia="仿宋"/>
          <w:sz w:val="28"/>
          <w:szCs w:val="21"/>
        </w:rPr>
        <w:t>德化县人力资源和社会保障局就业补助金项目2024年度全年预算金额为</w:t>
      </w:r>
      <w:bookmarkStart w:id="9" w:name="_Hlk207694707"/>
      <w:r>
        <w:rPr>
          <w:rFonts w:hint="eastAsia" w:ascii="仿宋" w:hAnsi="仿宋" w:eastAsia="仿宋"/>
          <w:sz w:val="28"/>
          <w:szCs w:val="21"/>
        </w:rPr>
        <w:t>12,922,900.00</w:t>
      </w:r>
      <w:bookmarkEnd w:id="9"/>
      <w:r>
        <w:rPr>
          <w:rFonts w:hint="eastAsia" w:ascii="仿宋" w:hAnsi="仿宋" w:eastAsia="仿宋"/>
          <w:sz w:val="28"/>
          <w:szCs w:val="21"/>
        </w:rPr>
        <w:t>元（其中由福建德化县陶瓷产业园区管理委员会收到“省级高技能人才培训基地”项目资金5,000,000.00元）。2024年度预算执行金额为10,776,545.02元（其中由福建德化县陶瓷产业园区管理委员会支出“省级高技能人才培训基地”项目资金2,880,000.00元）。</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福建德化县陶瓷产业园区管理委员会的“省级高技能人才培训基地”项目预算资金5,000,000.00元，实际收到财政资金为5,000,000.00元，2024年度实际支出资金为2,880,000.00元。由于该笔资金的收支并没有经过德化县人力资源和社会保障局的资金账户，而是直接由财政拨付给福建德化县陶瓷产业园区管理委员会，并在实际支出时直接由福建德化县陶瓷产业园区管理委员会支出。故计算预算执行率时不考虑该项目的资金预算及资金收支。</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在2024年度就业补助金的支出中，有25,340.00元资金属于直接由财政拨付给相关单位，故计算预算执行率时不考虑该项目的资金预算及资金收支。</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2024年度德化县人力资源和社会保障局就业补助金项目的预算执行率为99.99%。(12,922,900.00-5,000,000.00-25,340.00)/(10,776,545.02- 2,880,000.00)=99.99%.</w:t>
      </w:r>
    </w:p>
    <w:bookmarkEnd w:id="8"/>
    <w:p>
      <w:pPr>
        <w:spacing w:after="0" w:line="408" w:lineRule="auto"/>
        <w:ind w:firstLine="562" w:firstLineChars="200"/>
        <w:outlineLvl w:val="0"/>
        <w:rPr>
          <w:rFonts w:hint="eastAsia" w:ascii="仿宋" w:hAnsi="仿宋" w:eastAsia="仿宋"/>
          <w:b/>
          <w:sz w:val="28"/>
          <w:szCs w:val="21"/>
        </w:rPr>
      </w:pPr>
      <w:bookmarkStart w:id="10" w:name="_Toc208903640"/>
      <w:r>
        <w:rPr>
          <w:rFonts w:hint="eastAsia" w:ascii="仿宋" w:hAnsi="仿宋" w:eastAsia="仿宋"/>
          <w:b/>
          <w:sz w:val="28"/>
          <w:szCs w:val="21"/>
        </w:rPr>
        <w:t>二、项目实施情况</w:t>
      </w:r>
      <w:bookmarkEnd w:id="10"/>
    </w:p>
    <w:p>
      <w:pPr>
        <w:spacing w:after="0" w:line="408" w:lineRule="auto"/>
        <w:ind w:firstLine="562" w:firstLineChars="200"/>
        <w:jc w:val="both"/>
        <w:outlineLvl w:val="1"/>
        <w:rPr>
          <w:rFonts w:hint="eastAsia" w:ascii="仿宋" w:hAnsi="仿宋" w:eastAsia="仿宋"/>
          <w:b/>
          <w:sz w:val="28"/>
          <w:szCs w:val="21"/>
        </w:rPr>
      </w:pPr>
      <w:bookmarkStart w:id="11" w:name="_Toc208903641"/>
      <w:r>
        <w:rPr>
          <w:rFonts w:hint="eastAsia" w:ascii="仿宋" w:hAnsi="仿宋" w:eastAsia="仿宋"/>
          <w:b/>
          <w:sz w:val="28"/>
          <w:szCs w:val="21"/>
        </w:rPr>
        <w:t>（一）资金来源及使用情况</w:t>
      </w:r>
      <w:bookmarkEnd w:id="11"/>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德化县关于进一步加快青年人才集聚引领支持民营经济高质量发展的若干措施》《德化县关于吸引和留住外来员工支持民营经济高质量发展的若干措施》等相关就业补助金文件指示，2024年度就业补助金预算为12,922,900.00元。本年度实际支出就业补助金10,776,545.02元。2024年度由财政直接拨付给相关单位金额25,340.00元。2024年度具体支出明细如下表1所示：</w:t>
      </w:r>
    </w:p>
    <w:p>
      <w:pPr>
        <w:spacing w:after="0" w:line="408" w:lineRule="auto"/>
        <w:jc w:val="center"/>
        <w:rPr>
          <w:rFonts w:hint="eastAsia" w:ascii="仿宋" w:hAnsi="仿宋" w:eastAsia="仿宋"/>
          <w:b/>
          <w:bCs/>
          <w:sz w:val="24"/>
          <w:szCs w:val="20"/>
        </w:rPr>
      </w:pPr>
      <w:r>
        <w:rPr>
          <w:rFonts w:hint="eastAsia" w:ascii="仿宋" w:hAnsi="仿宋" w:eastAsia="仿宋"/>
          <w:b/>
          <w:bCs/>
          <w:sz w:val="24"/>
          <w:szCs w:val="20"/>
        </w:rPr>
        <w:t>表1  2024年度就业补助金支出明细表</w:t>
      </w:r>
    </w:p>
    <w:tbl>
      <w:tblPr>
        <w:tblStyle w:val="90"/>
        <w:tblW w:w="105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8273"/>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序号</w:t>
            </w:r>
          </w:p>
        </w:tc>
        <w:tc>
          <w:tcPr>
            <w:tcW w:w="8273"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支出项目名称</w:t>
            </w:r>
          </w:p>
        </w:tc>
        <w:tc>
          <w:tcPr>
            <w:tcW w:w="1547"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2024年1月政府购买基层公共管理和社会服务岗位补助</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21,720.00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2022年失业信息动态监测调查统计补助</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3</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2019年度第二批泉州市产业实训基地补助资金</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400,000.00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4</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德化县2024年百家名企新春招聘展播视频录制服务费用</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5</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2023年失业动态监测调查统计工作补助</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49,600.00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6</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2023年互联网营销师项目制培训</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34,000.00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7</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2024年德化县一次性省内外劳务合作补助（企业）第1批、第2批、第3批</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189,000.00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8</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2024年德化县一次性省内劳务合作补助（中介服务机构）</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90,580.00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9</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2024年德化县一次性省外劳务合作补助（企业）第2批</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370,000.00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10</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2024年脱贫人员“1+N”职业技能培训一次性生活费补贴</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11</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2024年德化县一次性省内外劳务合作补助（企业）第3批</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134,000.00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12</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2023年德化县企业招用就业困难人员社会保险补贴</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88,295.32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13</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2023年度德化县技能大师工作室一次性补助</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880,000.00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14</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德化县2024年“春风行动”暨春季人才招聘交流会服务费用</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15</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德化县2024年“泉城就业”助企稳岗促发展十条措施一次性稳定就业奖补</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24,000.00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16</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2024年德化县第五批见证补贴</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141,700.00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17</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2024年德化县第六批见证补贴</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274,450.00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18</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2023年10月-2024年6月公益性岗位补贴</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657,039.87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19</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2025年德化县第七批见证补贴</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173,750.00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20</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2024年德化县第八批见证补贴</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132,650.00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21</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2024年德化县就业见习岗位补贴</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217,200.00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22</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德化县零工市场和零工驿站一次性运维补助</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160,000.00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23</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2024年德化县第二期初创企业经营者素质提升高级研修班</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29,674.81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24</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2024年一次性省内外劳务合作补助资金（第六批）</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262,100.00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25</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2024年德化县大学生生活补贴及一次性生活补助资金</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610,000.00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26</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2024年德化县一次性生活补贴资金及社保补助</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27</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德化县高校毕业生来泉就业安居补助第九批</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923,785.02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28</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2023年度德化县支持优化用工环境构建和谐劳动关系一次性稳定就业奖补（第一批）</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914,000.00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29</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2024年德化县企业自主招聘县外员工奖补（第一批）</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22,000.00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30</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技能大师工作室县级配套资金</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400,000.00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31</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2024年大中专毕业生创业省级一次性创业补贴</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32</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省级高技能人才培训基地项目</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2,880,000.00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33</w:t>
            </w:r>
          </w:p>
        </w:tc>
        <w:tc>
          <w:tcPr>
            <w:tcW w:w="8273"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2024年升级创业支持资金补助</w:t>
            </w:r>
          </w:p>
        </w:tc>
        <w:tc>
          <w:tcPr>
            <w:tcW w:w="1547" w:type="dxa"/>
            <w:vAlign w:val="center"/>
          </w:tcPr>
          <w:p>
            <w:pPr>
              <w:adjustRightInd w:val="0"/>
              <w:snapToGrid w:val="0"/>
              <w:spacing w:after="0" w:line="408" w:lineRule="auto"/>
              <w:jc w:val="right"/>
              <w:rPr>
                <w:rFonts w:hint="eastAsia" w:ascii="仿宋" w:hAnsi="仿宋" w:eastAsia="仿宋"/>
                <w:snapToGrid w:val="0"/>
                <w:kern w:val="0"/>
                <w:sz w:val="18"/>
                <w:szCs w:val="21"/>
              </w:rPr>
            </w:pPr>
            <w:r>
              <w:rPr>
                <w:rFonts w:hint="eastAsia" w:ascii="仿宋" w:hAnsi="仿宋" w:eastAsia="仿宋"/>
                <w:snapToGrid w:val="0"/>
                <w:kern w:val="0"/>
                <w:sz w:val="18"/>
                <w:szCs w:val="21"/>
              </w:rPr>
              <w:t>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92" w:type="dxa"/>
            <w:vAlign w:val="center"/>
          </w:tcPr>
          <w:p>
            <w:pPr>
              <w:adjustRightInd w:val="0"/>
              <w:snapToGrid w:val="0"/>
              <w:spacing w:after="0" w:line="408" w:lineRule="auto"/>
              <w:jc w:val="center"/>
              <w:rPr>
                <w:rFonts w:hint="eastAsia" w:ascii="仿宋" w:hAnsi="仿宋" w:eastAsia="仿宋"/>
                <w:snapToGrid w:val="0"/>
                <w:kern w:val="0"/>
                <w:sz w:val="18"/>
                <w:szCs w:val="21"/>
              </w:rPr>
            </w:pPr>
          </w:p>
        </w:tc>
        <w:tc>
          <w:tcPr>
            <w:tcW w:w="8273"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合</w:t>
            </w:r>
            <w:r>
              <w:rPr>
                <w:rFonts w:hint="eastAsia" w:ascii="仿宋" w:hAnsi="仿宋" w:eastAsia="仿宋"/>
                <w:snapToGrid w:val="0"/>
                <w:kern w:val="0"/>
                <w:sz w:val="18"/>
                <w:szCs w:val="21"/>
                <w:lang w:val="en-US" w:eastAsia="zh-CN"/>
              </w:rPr>
              <w:t>计</w:t>
            </w:r>
            <w:r>
              <w:rPr>
                <w:rFonts w:hint="eastAsia" w:ascii="仿宋" w:hAnsi="仿宋" w:eastAsia="仿宋"/>
                <w:snapToGrid w:val="0"/>
                <w:kern w:val="0"/>
                <w:sz w:val="18"/>
                <w:szCs w:val="21"/>
              </w:rPr>
              <w:t>金额</w:t>
            </w:r>
          </w:p>
        </w:tc>
        <w:tc>
          <w:tcPr>
            <w:tcW w:w="1547"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10,776,545.02</w:t>
            </w:r>
          </w:p>
        </w:tc>
      </w:tr>
    </w:tbl>
    <w:p>
      <w:pPr>
        <w:spacing w:after="0" w:line="408" w:lineRule="auto"/>
        <w:ind w:firstLine="562" w:firstLineChars="200"/>
        <w:jc w:val="both"/>
        <w:outlineLvl w:val="1"/>
        <w:rPr>
          <w:rFonts w:hint="eastAsia" w:ascii="仿宋" w:hAnsi="仿宋" w:eastAsia="仿宋"/>
          <w:b/>
          <w:sz w:val="28"/>
          <w:szCs w:val="21"/>
        </w:rPr>
      </w:pPr>
      <w:bookmarkStart w:id="12" w:name="_Toc208903642"/>
      <w:r>
        <w:rPr>
          <w:rFonts w:hint="eastAsia" w:ascii="仿宋" w:hAnsi="仿宋" w:eastAsia="仿宋"/>
          <w:b/>
          <w:sz w:val="28"/>
          <w:szCs w:val="21"/>
        </w:rPr>
        <w:t>（二）实施组织及管理情况</w:t>
      </w:r>
      <w:bookmarkEnd w:id="1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德化县人力资源和社会保障局在</w:t>
      </w:r>
      <w:bookmarkStart w:id="13" w:name="_Hlk174976033"/>
      <w:r>
        <w:rPr>
          <w:rFonts w:hint="eastAsia" w:ascii="仿宋" w:hAnsi="仿宋" w:eastAsia="仿宋"/>
          <w:sz w:val="28"/>
          <w:szCs w:val="21"/>
        </w:rPr>
        <w:t>就业补助金专项资金</w:t>
      </w:r>
      <w:bookmarkEnd w:id="13"/>
      <w:r>
        <w:rPr>
          <w:rFonts w:hint="eastAsia" w:ascii="仿宋" w:hAnsi="仿宋" w:eastAsia="仿宋"/>
          <w:sz w:val="28"/>
          <w:szCs w:val="21"/>
        </w:rPr>
        <w:t>项目中符合政府采购需求管理办法，符合招投标等相关的规定，符合国家财经法规和财务管理制度以及有关专项资金管理办法的规定。就业补助金专项资金项目中资金的使用符合《德化县关于进一步加快青年人才集聚引领支持民营经济高质量发展的若干措施》《德化县关于吸引和留住外来员工支持民营经济高质量发展的若干措施》等相关补助金文件规定，具备合法、合规、完整的财务和业务管理制度。</w:t>
      </w:r>
    </w:p>
    <w:p>
      <w:pPr>
        <w:spacing w:after="0" w:line="408" w:lineRule="auto"/>
        <w:ind w:firstLine="562" w:firstLineChars="200"/>
        <w:jc w:val="both"/>
        <w:outlineLvl w:val="1"/>
        <w:rPr>
          <w:rFonts w:hint="eastAsia" w:ascii="仿宋" w:hAnsi="仿宋" w:eastAsia="仿宋"/>
          <w:b/>
          <w:sz w:val="28"/>
          <w:szCs w:val="21"/>
        </w:rPr>
      </w:pPr>
      <w:bookmarkStart w:id="14" w:name="_Toc208903643"/>
      <w:r>
        <w:rPr>
          <w:rFonts w:hint="eastAsia" w:ascii="仿宋" w:hAnsi="仿宋" w:eastAsia="仿宋"/>
          <w:b/>
          <w:sz w:val="28"/>
          <w:szCs w:val="21"/>
        </w:rPr>
        <w:t>（三）总体目标</w:t>
      </w:r>
      <w:bookmarkEnd w:id="14"/>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为认真贯彻《德化县关于进一步加快青年人才集聚引领支持民营经济高质量发展的若干措施》《德化县关于吸引和留住外来员工支持民营经济高质量发展的若干措施》等相关文件的指示，做好就业补助金的补助工作。2024年德化县就业补助金专项资金绩效指标如下表2所示：</w:t>
      </w:r>
    </w:p>
    <w:p>
      <w:pPr>
        <w:spacing w:after="0" w:line="408" w:lineRule="auto"/>
        <w:jc w:val="center"/>
        <w:rPr>
          <w:rFonts w:hint="eastAsia" w:ascii="仿宋" w:hAnsi="仿宋" w:eastAsia="仿宋"/>
          <w:b/>
          <w:bCs/>
          <w:sz w:val="24"/>
          <w:szCs w:val="20"/>
        </w:rPr>
      </w:pPr>
      <w:r>
        <w:rPr>
          <w:rFonts w:hint="eastAsia" w:ascii="仿宋" w:hAnsi="仿宋" w:eastAsia="仿宋"/>
          <w:b/>
          <w:bCs/>
          <w:sz w:val="24"/>
          <w:szCs w:val="20"/>
        </w:rPr>
        <w:t>表2  2024年德化县就业补助金专项资金绩效目标表</w:t>
      </w:r>
    </w:p>
    <w:tbl>
      <w:tblPr>
        <w:tblStyle w:val="90"/>
        <w:tblW w:w="10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417"/>
        <w:gridCol w:w="2329"/>
        <w:gridCol w:w="4844"/>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34"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序号</w:t>
            </w:r>
          </w:p>
        </w:tc>
        <w:tc>
          <w:tcPr>
            <w:tcW w:w="1417"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一级指标</w:t>
            </w:r>
          </w:p>
        </w:tc>
        <w:tc>
          <w:tcPr>
            <w:tcW w:w="2329"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二级指标</w:t>
            </w:r>
          </w:p>
        </w:tc>
        <w:tc>
          <w:tcPr>
            <w:tcW w:w="4844"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三级指标</w:t>
            </w:r>
          </w:p>
        </w:tc>
        <w:tc>
          <w:tcPr>
            <w:tcW w:w="1188"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34"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w:t>
            </w:r>
          </w:p>
        </w:tc>
        <w:tc>
          <w:tcPr>
            <w:tcW w:w="1417"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成本指标</w:t>
            </w:r>
          </w:p>
        </w:tc>
        <w:tc>
          <w:tcPr>
            <w:tcW w:w="2329"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经济成本指标</w:t>
            </w:r>
          </w:p>
        </w:tc>
        <w:tc>
          <w:tcPr>
            <w:tcW w:w="4844"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社会保险补贴人均占实际缴费额的比率</w:t>
            </w:r>
          </w:p>
        </w:tc>
        <w:tc>
          <w:tcPr>
            <w:tcW w:w="1188"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34"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w:t>
            </w:r>
          </w:p>
        </w:tc>
        <w:tc>
          <w:tcPr>
            <w:tcW w:w="1417"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效益指标</w:t>
            </w:r>
          </w:p>
        </w:tc>
        <w:tc>
          <w:tcPr>
            <w:tcW w:w="2329"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社会效益指标</w:t>
            </w:r>
          </w:p>
        </w:tc>
        <w:tc>
          <w:tcPr>
            <w:tcW w:w="4844"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因社保补贴发放问题发生重大群体性事件数量</w:t>
            </w:r>
          </w:p>
        </w:tc>
        <w:tc>
          <w:tcPr>
            <w:tcW w:w="1188"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=0起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34"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3</w:t>
            </w:r>
          </w:p>
        </w:tc>
        <w:tc>
          <w:tcPr>
            <w:tcW w:w="1417"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满意度指标</w:t>
            </w:r>
          </w:p>
        </w:tc>
        <w:tc>
          <w:tcPr>
            <w:tcW w:w="2329"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服务对象满意度指标</w:t>
            </w:r>
          </w:p>
        </w:tc>
        <w:tc>
          <w:tcPr>
            <w:tcW w:w="4844"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社保补贴政策经办服务满意度</w:t>
            </w:r>
          </w:p>
        </w:tc>
        <w:tc>
          <w:tcPr>
            <w:tcW w:w="1188"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34"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4</w:t>
            </w:r>
          </w:p>
        </w:tc>
        <w:tc>
          <w:tcPr>
            <w:tcW w:w="1417"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产出指标</w:t>
            </w:r>
          </w:p>
        </w:tc>
        <w:tc>
          <w:tcPr>
            <w:tcW w:w="2329"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数量指标</w:t>
            </w:r>
          </w:p>
        </w:tc>
        <w:tc>
          <w:tcPr>
            <w:tcW w:w="4844"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享受社会保险补贴人员数量</w:t>
            </w:r>
          </w:p>
        </w:tc>
        <w:tc>
          <w:tcPr>
            <w:tcW w:w="1188"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34"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5</w:t>
            </w:r>
          </w:p>
        </w:tc>
        <w:tc>
          <w:tcPr>
            <w:tcW w:w="1417"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产出指标</w:t>
            </w:r>
          </w:p>
        </w:tc>
        <w:tc>
          <w:tcPr>
            <w:tcW w:w="2329"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质量指标</w:t>
            </w:r>
          </w:p>
        </w:tc>
        <w:tc>
          <w:tcPr>
            <w:tcW w:w="4844"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社会保险补贴发放准确率</w:t>
            </w:r>
          </w:p>
        </w:tc>
        <w:tc>
          <w:tcPr>
            <w:tcW w:w="1188"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34"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6</w:t>
            </w:r>
          </w:p>
        </w:tc>
        <w:tc>
          <w:tcPr>
            <w:tcW w:w="1417"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产出指标</w:t>
            </w:r>
          </w:p>
        </w:tc>
        <w:tc>
          <w:tcPr>
            <w:tcW w:w="2329"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时效指标</w:t>
            </w:r>
          </w:p>
        </w:tc>
        <w:tc>
          <w:tcPr>
            <w:tcW w:w="4844" w:type="dxa"/>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补贴资金在规定时间内支付到位率</w:t>
            </w:r>
          </w:p>
        </w:tc>
        <w:tc>
          <w:tcPr>
            <w:tcW w:w="1188" w:type="dxa"/>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≥98%</w:t>
            </w:r>
          </w:p>
        </w:tc>
      </w:tr>
    </w:tbl>
    <w:p>
      <w:pPr>
        <w:spacing w:after="0" w:line="408" w:lineRule="auto"/>
        <w:ind w:firstLine="562" w:firstLineChars="200"/>
        <w:outlineLvl w:val="0"/>
        <w:rPr>
          <w:rFonts w:hint="eastAsia" w:ascii="仿宋" w:hAnsi="仿宋" w:eastAsia="仿宋"/>
          <w:b/>
          <w:sz w:val="28"/>
          <w:szCs w:val="21"/>
        </w:rPr>
      </w:pPr>
      <w:bookmarkStart w:id="15" w:name="_Toc208903644"/>
      <w:r>
        <w:rPr>
          <w:rFonts w:hint="eastAsia" w:ascii="仿宋" w:hAnsi="仿宋" w:eastAsia="仿宋"/>
          <w:b/>
          <w:sz w:val="28"/>
          <w:szCs w:val="21"/>
        </w:rPr>
        <w:t>三、绩效评价工作开展情况</w:t>
      </w:r>
      <w:bookmarkEnd w:id="15"/>
    </w:p>
    <w:p>
      <w:pPr>
        <w:spacing w:after="0" w:line="408" w:lineRule="auto"/>
        <w:ind w:firstLine="562" w:firstLineChars="200"/>
        <w:jc w:val="both"/>
        <w:outlineLvl w:val="1"/>
        <w:rPr>
          <w:rFonts w:hint="eastAsia" w:ascii="仿宋" w:hAnsi="仿宋" w:eastAsia="仿宋"/>
          <w:b/>
          <w:sz w:val="28"/>
          <w:szCs w:val="21"/>
        </w:rPr>
      </w:pPr>
      <w:bookmarkStart w:id="16" w:name="_Toc208903645"/>
      <w:r>
        <w:rPr>
          <w:rFonts w:hint="eastAsia" w:ascii="仿宋" w:hAnsi="仿宋" w:eastAsia="仿宋"/>
          <w:b/>
          <w:sz w:val="28"/>
          <w:szCs w:val="21"/>
        </w:rPr>
        <w:t>（一）绩效评价目的和作用</w:t>
      </w:r>
      <w:bookmarkEnd w:id="16"/>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绩效评价的目的是提升相关部门的预算管理水平、</w:t>
      </w:r>
      <w:r>
        <w:rPr>
          <w:rFonts w:ascii="仿宋" w:hAnsi="仿宋" w:eastAsia="仿宋" w:cs="Times New Roman"/>
          <w:sz w:val="28"/>
          <w:szCs w:val="21"/>
        </w:rPr>
        <w:t>‌</w:t>
      </w:r>
      <w:r>
        <w:rPr>
          <w:rFonts w:hint="eastAsia" w:ascii="仿宋" w:hAnsi="仿宋" w:eastAsia="仿宋" w:cs="宋体"/>
          <w:sz w:val="28"/>
          <w:szCs w:val="21"/>
        </w:rPr>
        <w:t>增强项目单位资金支出责任、</w:t>
      </w:r>
      <w:r>
        <w:rPr>
          <w:rFonts w:ascii="仿宋" w:hAnsi="仿宋" w:eastAsia="仿宋" w:cs="Times New Roman"/>
          <w:sz w:val="28"/>
          <w:szCs w:val="21"/>
        </w:rPr>
        <w:t>‌</w:t>
      </w:r>
      <w:r>
        <w:rPr>
          <w:rFonts w:hint="eastAsia" w:ascii="仿宋" w:hAnsi="仿宋" w:eastAsia="仿宋" w:cs="宋体"/>
          <w:sz w:val="28"/>
          <w:szCs w:val="21"/>
        </w:rPr>
        <w:t>优化公共资源配置、</w:t>
      </w:r>
      <w:r>
        <w:rPr>
          <w:rFonts w:ascii="仿宋" w:hAnsi="仿宋" w:eastAsia="仿宋" w:cs="Times New Roman"/>
          <w:sz w:val="28"/>
          <w:szCs w:val="21"/>
        </w:rPr>
        <w:t>‌</w:t>
      </w:r>
      <w:r>
        <w:rPr>
          <w:rFonts w:hint="eastAsia" w:ascii="仿宋" w:hAnsi="仿宋" w:eastAsia="仿宋" w:cs="宋体"/>
          <w:sz w:val="28"/>
          <w:szCs w:val="21"/>
        </w:rPr>
        <w:t>节约公共支出成本，</w:t>
      </w:r>
      <w:r>
        <w:rPr>
          <w:rFonts w:ascii="仿宋" w:hAnsi="仿宋" w:eastAsia="仿宋" w:cs="Times New Roman"/>
          <w:sz w:val="28"/>
          <w:szCs w:val="21"/>
        </w:rPr>
        <w:t>‌</w:t>
      </w:r>
      <w:r>
        <w:rPr>
          <w:rFonts w:hint="eastAsia" w:ascii="仿宋" w:hAnsi="仿宋" w:eastAsia="仿宋" w:cs="宋体"/>
          <w:sz w:val="28"/>
          <w:szCs w:val="21"/>
        </w:rPr>
        <w:t>进而促进财政资金的合理配置和提高公共产品的服务质量。</w:t>
      </w:r>
      <w:r>
        <w:rPr>
          <w:rFonts w:ascii="仿宋" w:hAnsi="仿宋" w:eastAsia="仿宋" w:cs="Times New Roman"/>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绩效评价可以为相关部门的决策制定提供科学依据：</w:t>
      </w:r>
      <w:r>
        <w:rPr>
          <w:rFonts w:ascii="仿宋" w:hAnsi="仿宋" w:eastAsia="仿宋" w:cs="Times New Roman"/>
          <w:sz w:val="28"/>
          <w:szCs w:val="21"/>
        </w:rPr>
        <w:t>‌</w:t>
      </w:r>
      <w:r>
        <w:rPr>
          <w:rFonts w:hint="eastAsia" w:ascii="仿宋" w:hAnsi="仿宋" w:eastAsia="仿宋" w:cs="宋体"/>
          <w:sz w:val="28"/>
          <w:szCs w:val="21"/>
        </w:rPr>
        <w:t>高质量的绩效评价带来的可靠结果可以放心使用和引用，</w:t>
      </w:r>
      <w:r>
        <w:rPr>
          <w:rFonts w:ascii="仿宋" w:hAnsi="仿宋" w:eastAsia="仿宋" w:cs="Times New Roman"/>
          <w:sz w:val="28"/>
          <w:szCs w:val="21"/>
        </w:rPr>
        <w:t>‌</w:t>
      </w:r>
      <w:r>
        <w:rPr>
          <w:rFonts w:hint="eastAsia" w:ascii="仿宋" w:hAnsi="仿宋" w:eastAsia="仿宋" w:cs="宋体"/>
          <w:sz w:val="28"/>
          <w:szCs w:val="21"/>
        </w:rPr>
        <w:t>有助于改进决策水平。</w:t>
      </w:r>
      <w:r>
        <w:rPr>
          <w:rFonts w:ascii="仿宋" w:hAnsi="仿宋" w:eastAsia="仿宋" w:cs="Times New Roman"/>
          <w:sz w:val="28"/>
          <w:szCs w:val="21"/>
        </w:rPr>
        <w:t>‌</w:t>
      </w:r>
      <w:r>
        <w:rPr>
          <w:rFonts w:hint="eastAsia" w:ascii="仿宋" w:hAnsi="仿宋" w:eastAsia="仿宋" w:cs="宋体"/>
          <w:sz w:val="28"/>
          <w:szCs w:val="21"/>
        </w:rPr>
        <w:t>可以节约资源，</w:t>
      </w:r>
      <w:r>
        <w:rPr>
          <w:rFonts w:ascii="仿宋" w:hAnsi="仿宋" w:eastAsia="仿宋" w:cs="Times New Roman"/>
          <w:sz w:val="28"/>
          <w:szCs w:val="21"/>
        </w:rPr>
        <w:t>‌</w:t>
      </w:r>
      <w:r>
        <w:rPr>
          <w:rFonts w:hint="eastAsia" w:ascii="仿宋" w:hAnsi="仿宋" w:eastAsia="仿宋" w:cs="宋体"/>
          <w:sz w:val="28"/>
          <w:szCs w:val="21"/>
        </w:rPr>
        <w:t>指出相关政策是否按计划实施以及资源是否有效利用，</w:t>
      </w:r>
      <w:r>
        <w:rPr>
          <w:rFonts w:ascii="仿宋" w:hAnsi="仿宋" w:eastAsia="仿宋" w:cs="Times New Roman"/>
          <w:sz w:val="28"/>
          <w:szCs w:val="21"/>
        </w:rPr>
        <w:t>‌</w:t>
      </w:r>
      <w:r>
        <w:rPr>
          <w:rFonts w:hint="eastAsia" w:ascii="仿宋" w:hAnsi="仿宋" w:eastAsia="仿宋" w:cs="宋体"/>
          <w:sz w:val="28"/>
          <w:szCs w:val="21"/>
        </w:rPr>
        <w:t>为制定和执行政府优先发展领域和目标、</w:t>
      </w:r>
      <w:r>
        <w:rPr>
          <w:rFonts w:ascii="仿宋" w:hAnsi="仿宋" w:eastAsia="仿宋" w:cs="Times New Roman"/>
          <w:sz w:val="28"/>
          <w:szCs w:val="21"/>
        </w:rPr>
        <w:t>‌</w:t>
      </w:r>
      <w:r>
        <w:rPr>
          <w:rFonts w:hint="eastAsia" w:ascii="仿宋" w:hAnsi="仿宋" w:eastAsia="仿宋" w:cs="宋体"/>
          <w:sz w:val="28"/>
          <w:szCs w:val="21"/>
        </w:rPr>
        <w:t>展示责任以及为独立审查程序提供证据，</w:t>
      </w:r>
      <w:r>
        <w:rPr>
          <w:rFonts w:ascii="仿宋" w:hAnsi="仿宋" w:eastAsia="仿宋" w:cs="Times New Roman"/>
          <w:sz w:val="28"/>
          <w:szCs w:val="21"/>
        </w:rPr>
        <w:t>‌</w:t>
      </w:r>
      <w:r>
        <w:rPr>
          <w:rFonts w:hint="eastAsia" w:ascii="仿宋" w:hAnsi="仿宋" w:eastAsia="仿宋" w:cs="宋体"/>
          <w:sz w:val="28"/>
          <w:szCs w:val="21"/>
        </w:rPr>
        <w:t>同时也为以证据为基础的政策提供宝贵信息，</w:t>
      </w:r>
      <w:r>
        <w:rPr>
          <w:rFonts w:ascii="仿宋" w:hAnsi="仿宋" w:eastAsia="仿宋" w:cs="Times New Roman"/>
          <w:sz w:val="28"/>
          <w:szCs w:val="21"/>
        </w:rPr>
        <w:t>‌</w:t>
      </w:r>
      <w:r>
        <w:rPr>
          <w:rFonts w:hint="eastAsia" w:ascii="仿宋" w:hAnsi="仿宋" w:eastAsia="仿宋" w:cs="宋体"/>
          <w:sz w:val="28"/>
          <w:szCs w:val="21"/>
        </w:rPr>
        <w:t>有利于未来政策的制定。</w:t>
      </w:r>
      <w:r>
        <w:rPr>
          <w:rFonts w:ascii="仿宋" w:hAnsi="仿宋" w:eastAsia="仿宋" w:cs="Times New Roman"/>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绩效评价可以总结经验，</w:t>
      </w:r>
      <w:r>
        <w:rPr>
          <w:rFonts w:ascii="仿宋" w:hAnsi="仿宋" w:eastAsia="仿宋" w:cs="Times New Roman"/>
          <w:sz w:val="28"/>
          <w:szCs w:val="21"/>
        </w:rPr>
        <w:t>‌</w:t>
      </w:r>
      <w:r>
        <w:rPr>
          <w:rFonts w:hint="eastAsia" w:ascii="仿宋" w:hAnsi="仿宋" w:eastAsia="仿宋" w:cs="宋体"/>
          <w:sz w:val="28"/>
          <w:szCs w:val="21"/>
        </w:rPr>
        <w:t>为改善政府管理、</w:t>
      </w:r>
      <w:r>
        <w:rPr>
          <w:rFonts w:ascii="仿宋" w:hAnsi="仿宋" w:eastAsia="仿宋" w:cs="Times New Roman"/>
          <w:sz w:val="28"/>
          <w:szCs w:val="21"/>
        </w:rPr>
        <w:t>‌</w:t>
      </w:r>
      <w:r>
        <w:rPr>
          <w:rFonts w:hint="eastAsia" w:ascii="仿宋" w:hAnsi="仿宋" w:eastAsia="仿宋" w:cs="宋体"/>
          <w:sz w:val="28"/>
          <w:szCs w:val="21"/>
        </w:rPr>
        <w:t>纠正目标与实际的偏差提供依据：</w:t>
      </w:r>
      <w:r>
        <w:rPr>
          <w:rFonts w:ascii="仿宋" w:hAnsi="仿宋" w:eastAsia="仿宋" w:cs="Times New Roman"/>
          <w:sz w:val="28"/>
          <w:szCs w:val="21"/>
        </w:rPr>
        <w:t>‌</w:t>
      </w:r>
      <w:r>
        <w:rPr>
          <w:rFonts w:hint="eastAsia" w:ascii="仿宋" w:hAnsi="仿宋" w:eastAsia="仿宋" w:cs="宋体"/>
          <w:sz w:val="28"/>
          <w:szCs w:val="21"/>
        </w:rPr>
        <w:t>绩效评价通过验证目标指标，</w:t>
      </w:r>
      <w:r>
        <w:rPr>
          <w:rFonts w:ascii="仿宋" w:hAnsi="仿宋" w:eastAsia="仿宋" w:cs="Times New Roman"/>
          <w:sz w:val="28"/>
          <w:szCs w:val="21"/>
        </w:rPr>
        <w:t>‌</w:t>
      </w:r>
      <w:r>
        <w:rPr>
          <w:rFonts w:hint="eastAsia" w:ascii="仿宋" w:hAnsi="仿宋" w:eastAsia="仿宋" w:cs="宋体"/>
          <w:sz w:val="28"/>
          <w:szCs w:val="21"/>
        </w:rPr>
        <w:t>确定目标与现实之间的差异程度，</w:t>
      </w:r>
      <w:r>
        <w:rPr>
          <w:rFonts w:ascii="仿宋" w:hAnsi="仿宋" w:eastAsia="仿宋" w:cs="Times New Roman"/>
          <w:sz w:val="28"/>
          <w:szCs w:val="21"/>
        </w:rPr>
        <w:t>‌</w:t>
      </w:r>
      <w:r>
        <w:rPr>
          <w:rFonts w:hint="eastAsia" w:ascii="仿宋" w:hAnsi="仿宋" w:eastAsia="仿宋" w:cs="宋体"/>
          <w:sz w:val="28"/>
          <w:szCs w:val="21"/>
        </w:rPr>
        <w:t>分析产生问题的原因，</w:t>
      </w:r>
      <w:r>
        <w:rPr>
          <w:rFonts w:ascii="仿宋" w:hAnsi="仿宋" w:eastAsia="仿宋" w:cs="Times New Roman"/>
          <w:sz w:val="28"/>
          <w:szCs w:val="21"/>
        </w:rPr>
        <w:t>‌</w:t>
      </w:r>
      <w:r>
        <w:rPr>
          <w:rFonts w:hint="eastAsia" w:ascii="仿宋" w:hAnsi="仿宋" w:eastAsia="仿宋" w:cs="宋体"/>
          <w:sz w:val="28"/>
          <w:szCs w:val="21"/>
        </w:rPr>
        <w:t>提出合理的建议，</w:t>
      </w:r>
      <w:r>
        <w:rPr>
          <w:rFonts w:ascii="仿宋" w:hAnsi="仿宋" w:eastAsia="仿宋" w:cs="Times New Roman"/>
          <w:sz w:val="28"/>
          <w:szCs w:val="21"/>
        </w:rPr>
        <w:t>‌</w:t>
      </w:r>
      <w:r>
        <w:rPr>
          <w:rFonts w:hint="eastAsia" w:ascii="仿宋" w:hAnsi="仿宋" w:eastAsia="仿宋" w:cs="宋体"/>
          <w:sz w:val="28"/>
          <w:szCs w:val="21"/>
        </w:rPr>
        <w:t>从而为纠偏决策提供依据，</w:t>
      </w:r>
      <w:r>
        <w:rPr>
          <w:rFonts w:ascii="仿宋" w:hAnsi="仿宋" w:eastAsia="仿宋" w:cs="Times New Roman"/>
          <w:sz w:val="28"/>
          <w:szCs w:val="21"/>
        </w:rPr>
        <w:t>‌</w:t>
      </w:r>
      <w:r>
        <w:rPr>
          <w:rFonts w:hint="eastAsia" w:ascii="仿宋" w:hAnsi="仿宋" w:eastAsia="仿宋" w:cs="宋体"/>
          <w:sz w:val="28"/>
          <w:szCs w:val="21"/>
        </w:rPr>
        <w:t>改善政府管理，</w:t>
      </w:r>
      <w:r>
        <w:rPr>
          <w:rFonts w:ascii="仿宋" w:hAnsi="仿宋" w:eastAsia="仿宋" w:cs="Times New Roman"/>
          <w:sz w:val="28"/>
          <w:szCs w:val="21"/>
        </w:rPr>
        <w:t>‌</w:t>
      </w:r>
      <w:r>
        <w:rPr>
          <w:rFonts w:hint="eastAsia" w:ascii="仿宋" w:hAnsi="仿宋" w:eastAsia="仿宋" w:cs="宋体"/>
          <w:sz w:val="28"/>
          <w:szCs w:val="21"/>
        </w:rPr>
        <w:t>纠正目标与实际的偏差。</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绩效评价可以为财政部门对各单位提供问责依据：</w:t>
      </w:r>
      <w:r>
        <w:rPr>
          <w:rFonts w:ascii="仿宋" w:hAnsi="仿宋" w:eastAsia="仿宋" w:cs="Times New Roman"/>
          <w:sz w:val="28"/>
          <w:szCs w:val="21"/>
        </w:rPr>
        <w:t>‌</w:t>
      </w:r>
      <w:r>
        <w:rPr>
          <w:rFonts w:hint="eastAsia" w:ascii="仿宋" w:hAnsi="仿宋" w:eastAsia="仿宋" w:cs="宋体"/>
          <w:sz w:val="28"/>
          <w:szCs w:val="21"/>
        </w:rPr>
        <w:t>随着公共财政管理体制的日趋完善，</w:t>
      </w:r>
      <w:r>
        <w:rPr>
          <w:rFonts w:ascii="仿宋" w:hAnsi="仿宋" w:eastAsia="仿宋" w:cs="Times New Roman"/>
          <w:sz w:val="28"/>
          <w:szCs w:val="21"/>
        </w:rPr>
        <w:t>‌</w:t>
      </w:r>
      <w:r>
        <w:rPr>
          <w:rFonts w:hint="eastAsia" w:ascii="仿宋" w:hAnsi="仿宋" w:eastAsia="仿宋" w:cs="宋体"/>
          <w:sz w:val="28"/>
          <w:szCs w:val="21"/>
        </w:rPr>
        <w:t>“花钱必问效，</w:t>
      </w:r>
      <w:r>
        <w:rPr>
          <w:rFonts w:ascii="仿宋" w:hAnsi="仿宋" w:eastAsia="仿宋" w:cs="Times New Roman"/>
          <w:sz w:val="28"/>
          <w:szCs w:val="21"/>
        </w:rPr>
        <w:t>‌</w:t>
      </w:r>
      <w:r>
        <w:rPr>
          <w:rFonts w:hint="eastAsia" w:ascii="仿宋" w:hAnsi="仿宋" w:eastAsia="仿宋" w:cs="宋体"/>
          <w:sz w:val="28"/>
          <w:szCs w:val="21"/>
        </w:rPr>
        <w:t>无效必问责”的理念已经成为财政部门加强预算管理的基本原则。</w:t>
      </w:r>
      <w:r>
        <w:rPr>
          <w:rFonts w:ascii="仿宋" w:hAnsi="仿宋" w:eastAsia="仿宋" w:cs="Times New Roman"/>
          <w:sz w:val="28"/>
          <w:szCs w:val="21"/>
        </w:rPr>
        <w:t>‌</w:t>
      </w:r>
      <w:r>
        <w:rPr>
          <w:rFonts w:hint="eastAsia" w:ascii="仿宋" w:hAnsi="仿宋" w:eastAsia="仿宋" w:cs="宋体"/>
          <w:sz w:val="28"/>
          <w:szCs w:val="21"/>
        </w:rPr>
        <w:t>高质量的绩效评价及其提供的可靠证据，</w:t>
      </w:r>
      <w:r>
        <w:rPr>
          <w:rFonts w:ascii="仿宋" w:hAnsi="仿宋" w:eastAsia="仿宋" w:cs="Times New Roman"/>
          <w:sz w:val="28"/>
          <w:szCs w:val="21"/>
        </w:rPr>
        <w:t>‌</w:t>
      </w:r>
      <w:r>
        <w:rPr>
          <w:rFonts w:hint="eastAsia" w:ascii="仿宋" w:hAnsi="仿宋" w:eastAsia="仿宋" w:cs="宋体"/>
          <w:sz w:val="28"/>
          <w:szCs w:val="21"/>
        </w:rPr>
        <w:t>将成为财政部门对各预算实施主体绩效目标未达成进行问责的客观依据，</w:t>
      </w:r>
      <w:r>
        <w:rPr>
          <w:rFonts w:ascii="仿宋" w:hAnsi="仿宋" w:eastAsia="仿宋" w:cs="Times New Roman"/>
          <w:sz w:val="28"/>
          <w:szCs w:val="21"/>
        </w:rPr>
        <w:t>‌</w:t>
      </w:r>
      <w:r>
        <w:rPr>
          <w:rFonts w:hint="eastAsia" w:ascii="仿宋" w:hAnsi="仿宋" w:eastAsia="仿宋" w:cs="宋体"/>
          <w:sz w:val="28"/>
          <w:szCs w:val="21"/>
        </w:rPr>
        <w:t>能促进政策的执行、</w:t>
      </w:r>
      <w:r>
        <w:rPr>
          <w:rFonts w:ascii="仿宋" w:hAnsi="仿宋" w:eastAsia="仿宋" w:cs="Times New Roman"/>
          <w:sz w:val="28"/>
          <w:szCs w:val="21"/>
        </w:rPr>
        <w:t>‌</w:t>
      </w:r>
      <w:r>
        <w:rPr>
          <w:rFonts w:hint="eastAsia" w:ascii="仿宋" w:hAnsi="仿宋" w:eastAsia="仿宋" w:cs="宋体"/>
          <w:sz w:val="28"/>
          <w:szCs w:val="21"/>
        </w:rPr>
        <w:t>提高政策执行的绩效和有效性。</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绩效评价不仅是评估政府工作的手段，</w:t>
      </w:r>
      <w:r>
        <w:rPr>
          <w:rFonts w:ascii="仿宋" w:hAnsi="仿宋" w:eastAsia="仿宋" w:cs="Times New Roman"/>
          <w:sz w:val="28"/>
          <w:szCs w:val="21"/>
        </w:rPr>
        <w:t>‌</w:t>
      </w:r>
      <w:r>
        <w:rPr>
          <w:rFonts w:hint="eastAsia" w:ascii="仿宋" w:hAnsi="仿宋" w:eastAsia="仿宋" w:cs="宋体"/>
          <w:sz w:val="28"/>
          <w:szCs w:val="21"/>
        </w:rPr>
        <w:t>也是提高政府工作效率和服务质量的重要工具，</w:t>
      </w:r>
      <w:r>
        <w:rPr>
          <w:rFonts w:ascii="仿宋" w:hAnsi="仿宋" w:eastAsia="仿宋" w:cs="Times New Roman"/>
          <w:sz w:val="28"/>
          <w:szCs w:val="21"/>
        </w:rPr>
        <w:t>‌</w:t>
      </w:r>
      <w:r>
        <w:rPr>
          <w:rFonts w:hint="eastAsia" w:ascii="仿宋" w:hAnsi="仿宋" w:eastAsia="仿宋" w:cs="宋体"/>
          <w:sz w:val="28"/>
          <w:szCs w:val="21"/>
        </w:rPr>
        <w:t>对于推动政府管理的科学化、</w:t>
      </w:r>
      <w:r>
        <w:rPr>
          <w:rFonts w:ascii="仿宋" w:hAnsi="仿宋" w:eastAsia="仿宋" w:cs="Times New Roman"/>
          <w:sz w:val="28"/>
          <w:szCs w:val="21"/>
        </w:rPr>
        <w:t>‌</w:t>
      </w:r>
      <w:r>
        <w:rPr>
          <w:rFonts w:hint="eastAsia" w:ascii="仿宋" w:hAnsi="仿宋" w:eastAsia="仿宋" w:cs="宋体"/>
          <w:sz w:val="28"/>
          <w:szCs w:val="21"/>
        </w:rPr>
        <w:t>规范化具有重要意义</w:t>
      </w:r>
      <w:r>
        <w:rPr>
          <w:rFonts w:hint="eastAsia" w:ascii="仿宋" w:hAnsi="仿宋" w:eastAsia="仿宋"/>
          <w:sz w:val="28"/>
          <w:szCs w:val="21"/>
        </w:rPr>
        <w:t>。</w:t>
      </w:r>
    </w:p>
    <w:p>
      <w:pPr>
        <w:spacing w:after="0" w:line="408" w:lineRule="auto"/>
        <w:ind w:firstLine="562" w:firstLineChars="200"/>
        <w:jc w:val="both"/>
        <w:outlineLvl w:val="1"/>
        <w:rPr>
          <w:rFonts w:hint="eastAsia" w:ascii="仿宋" w:hAnsi="仿宋" w:eastAsia="仿宋"/>
          <w:b/>
          <w:sz w:val="28"/>
          <w:szCs w:val="21"/>
        </w:rPr>
      </w:pPr>
      <w:bookmarkStart w:id="17" w:name="_Toc208903646"/>
      <w:r>
        <w:rPr>
          <w:rFonts w:hint="eastAsia" w:ascii="仿宋" w:hAnsi="仿宋" w:eastAsia="仿宋"/>
          <w:b/>
          <w:sz w:val="28"/>
          <w:szCs w:val="21"/>
        </w:rPr>
        <w:t>（二）评价对象和范围</w:t>
      </w:r>
      <w:bookmarkEnd w:id="1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本次绩效评价的评价范围为2024年德化县就业补助金专项资金。</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绩效评价期间为：2024年1月1日至2024年12月31日</w:t>
      </w:r>
    </w:p>
    <w:p>
      <w:pPr>
        <w:spacing w:after="0" w:line="408" w:lineRule="auto"/>
        <w:ind w:firstLine="562" w:firstLineChars="200"/>
        <w:jc w:val="both"/>
        <w:outlineLvl w:val="1"/>
        <w:rPr>
          <w:rFonts w:hint="eastAsia" w:ascii="仿宋" w:hAnsi="仿宋" w:eastAsia="仿宋"/>
          <w:b/>
          <w:sz w:val="28"/>
          <w:szCs w:val="21"/>
        </w:rPr>
      </w:pPr>
      <w:bookmarkStart w:id="18" w:name="_Toc208903647"/>
      <w:r>
        <w:rPr>
          <w:rFonts w:hint="eastAsia" w:ascii="仿宋" w:hAnsi="仿宋" w:eastAsia="仿宋"/>
          <w:b/>
          <w:sz w:val="28"/>
          <w:szCs w:val="21"/>
        </w:rPr>
        <w:t>（三）绩效评价依据</w:t>
      </w:r>
      <w:bookmarkEnd w:id="18"/>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（1）《中共中央、国务院关于全面实施预算绩效管理的意见》（中发〔2018〕34号）；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（2）财政部关于印发《项目支出绩效评价管理办法》的通知（财预〔2022〕10号）；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（3）《福建省财政厅关于印发财政支出绩效评价指标体系及使用指南的通知》（闽财绩〔2012〕13号）；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（4）福建省财政厅关于印发《福建省财政支出绩效评价管理暂行办法》的通知（闽财绩〔2015〕4号）；</w:t>
      </w:r>
    </w:p>
    <w:p>
      <w:pPr>
        <w:spacing w:after="0" w:line="408" w:lineRule="auto"/>
        <w:ind w:firstLine="560" w:firstLineChars="200"/>
        <w:jc w:val="both"/>
        <w:rPr>
          <w:rFonts w:hint="eastAsia" w:ascii="仿宋" w:hAnsi="仿宋" w:eastAsia="仿宋"/>
          <w:sz w:val="28"/>
          <w:szCs w:val="21"/>
        </w:rPr>
      </w:pPr>
      <w:bookmarkStart w:id="19" w:name="_Hlk173142957"/>
      <w:r>
        <w:rPr>
          <w:rFonts w:hint="eastAsia" w:ascii="仿宋" w:hAnsi="仿宋" w:eastAsia="仿宋"/>
          <w:sz w:val="28"/>
          <w:szCs w:val="21"/>
        </w:rPr>
        <w:t>（5）</w:t>
      </w:r>
      <w:bookmarkEnd w:id="19"/>
      <w:r>
        <w:rPr>
          <w:rFonts w:hint="eastAsia" w:ascii="仿宋" w:hAnsi="仿宋" w:eastAsia="仿宋"/>
          <w:sz w:val="28"/>
          <w:szCs w:val="21"/>
        </w:rPr>
        <w:t>《中华人民共和国招标投标法》；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（6）《中华人民共和国招标投标法实施条例》；</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（7）《中华人民共和国政府采购法》；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（8）《中华人民共和国政府采购法实施条例》；</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（9）财政部关于印发《预算绩效评价共性指标体系框架》的通知；</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（10）《项目支出绩效评价管理办法》；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（11）</w:t>
      </w:r>
      <w:r>
        <w:rPr>
          <w:rFonts w:ascii="仿宋" w:hAnsi="仿宋" w:eastAsia="仿宋"/>
          <w:sz w:val="28"/>
          <w:szCs w:val="21"/>
        </w:rPr>
        <w:t>《中华人民共和国预算法》</w:t>
      </w:r>
      <w:r>
        <w:rPr>
          <w:rFonts w:hint="eastAsia" w:ascii="仿宋" w:hAnsi="仿宋" w:eastAsia="仿宋"/>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（12）《德化县关于进一步加快青年人才集聚引领支持民营经济高质量发展的若干措施》；</w:t>
      </w:r>
    </w:p>
    <w:p>
      <w:pPr>
        <w:spacing w:after="0" w:line="408" w:lineRule="auto"/>
        <w:ind w:firstLine="560" w:firstLineChars="200"/>
        <w:jc w:val="center"/>
        <w:rPr>
          <w:rFonts w:hint="eastAsia" w:ascii="仿宋" w:hAnsi="仿宋" w:eastAsia="仿宋"/>
          <w:sz w:val="28"/>
          <w:szCs w:val="21"/>
        </w:rPr>
      </w:pPr>
      <w:r>
        <w:rPr>
          <w:rFonts w:hint="eastAsia" w:ascii="仿宋" w:hAnsi="仿宋" w:eastAsia="仿宋"/>
          <w:sz w:val="28"/>
          <w:szCs w:val="21"/>
        </w:rPr>
        <w:t>（13）《德化县关于吸引和留住外来员工支持民营经济高质量发展的若干措施》</w:t>
      </w:r>
    </w:p>
    <w:p>
      <w:pPr>
        <w:spacing w:after="0" w:line="408" w:lineRule="auto"/>
        <w:ind w:firstLine="560" w:firstLineChars="200"/>
        <w:rPr>
          <w:rFonts w:hint="eastAsia" w:ascii="仿宋" w:hAnsi="仿宋" w:eastAsia="仿宋"/>
          <w:sz w:val="28"/>
          <w:szCs w:val="21"/>
        </w:rPr>
      </w:pPr>
      <w:r>
        <w:rPr>
          <w:rFonts w:hint="eastAsia" w:ascii="仿宋" w:hAnsi="仿宋" w:eastAsia="仿宋"/>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（14）《福建省高技能人才培训基地建设项目实施方案》。</w:t>
      </w:r>
    </w:p>
    <w:p>
      <w:pPr>
        <w:spacing w:after="0" w:line="408" w:lineRule="auto"/>
        <w:ind w:firstLine="562" w:firstLineChars="200"/>
        <w:jc w:val="both"/>
        <w:outlineLvl w:val="1"/>
        <w:rPr>
          <w:rFonts w:hint="eastAsia" w:ascii="仿宋" w:hAnsi="仿宋" w:eastAsia="仿宋"/>
          <w:b/>
          <w:sz w:val="28"/>
          <w:szCs w:val="21"/>
        </w:rPr>
      </w:pPr>
      <w:bookmarkStart w:id="20" w:name="_Toc208903648"/>
      <w:r>
        <w:rPr>
          <w:rFonts w:hint="eastAsia" w:ascii="仿宋" w:hAnsi="仿宋" w:eastAsia="仿宋"/>
          <w:b/>
          <w:sz w:val="28"/>
          <w:szCs w:val="21"/>
        </w:rPr>
        <w:t>（四）绩效评价原则</w:t>
      </w:r>
      <w:bookmarkEnd w:id="20"/>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（1）相关性原则。确定的绩效评价指标应当与绩效目标有直接的联系能够恰当反映目标的实现程度，而与绩效目标无关的指标不应列入评价体系；</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（2）重要性原则。应当优先使用最具评价对象代表性、最能反映评价要求的核心指标，而对于那些无足轻重、可有可无的指标应该舍弃，否则，可能造成评价体系过于庞杂，可操作性不强</w:t>
      </w:r>
      <w:bookmarkStart w:id="57" w:name="_GoBack"/>
      <w:bookmarkEnd w:id="57"/>
      <w:r>
        <w:rPr>
          <w:rFonts w:hint="eastAsia" w:ascii="仿宋" w:hAnsi="仿宋" w:eastAsia="仿宋"/>
          <w:sz w:val="28"/>
          <w:szCs w:val="21"/>
        </w:rPr>
        <w:t>且不能突出反映问题；</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（3）可比性原则。对同类评价对象要设定共性的绩效评价指标，以便于评价结果可以相互比较。如，项目立项、资金落实、项目管理、财务管理等就属于共性指标；</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（4）经济性原则。绩效评价指标不是设计得越复杂越好，应当通俗易懂、简便易行，数据的获得应当考虑现实条件和可操作性。</w:t>
      </w:r>
    </w:p>
    <w:p>
      <w:pPr>
        <w:spacing w:after="0" w:line="408" w:lineRule="auto"/>
        <w:ind w:firstLine="562" w:firstLineChars="200"/>
        <w:jc w:val="both"/>
        <w:outlineLvl w:val="1"/>
        <w:rPr>
          <w:rFonts w:hint="eastAsia" w:ascii="仿宋" w:hAnsi="仿宋" w:eastAsia="仿宋"/>
          <w:b/>
          <w:sz w:val="28"/>
          <w:szCs w:val="21"/>
        </w:rPr>
      </w:pPr>
      <w:bookmarkStart w:id="21" w:name="_Toc208903649"/>
      <w:r>
        <w:rPr>
          <w:rFonts w:hint="eastAsia" w:ascii="仿宋" w:hAnsi="仿宋" w:eastAsia="仿宋"/>
          <w:b/>
          <w:sz w:val="28"/>
          <w:szCs w:val="21"/>
        </w:rPr>
        <w:t>（五）绩效评价方法</w:t>
      </w:r>
      <w:bookmarkEnd w:id="21"/>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根据《财政支出绩效评价管理暂行办法》（财预〔2011〕285号），绩效评价指标确定应当遵循以下绩效评价方法：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（1）比较法。是指通过实际支出、实施效果等与绩效目标、历史情况、不同地区同类支出等的比较，综合分析绩效目标实现程度；</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（2）成本效益分析法。是指将一定时期内的支出与效益进行对比分析，以评价绩效目标实现程度；</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（3）服务对象评判法。是指通过对服务对象进行问卷及抽样调查等对财政支出的效果进行评判，评价绩效目标实现程度。</w:t>
      </w:r>
    </w:p>
    <w:p>
      <w:pPr>
        <w:spacing w:after="0" w:line="408" w:lineRule="auto"/>
        <w:ind w:firstLine="562" w:firstLineChars="200"/>
        <w:jc w:val="both"/>
        <w:outlineLvl w:val="1"/>
        <w:rPr>
          <w:rFonts w:hint="eastAsia" w:ascii="仿宋" w:hAnsi="仿宋" w:eastAsia="仿宋"/>
          <w:b/>
          <w:sz w:val="28"/>
          <w:szCs w:val="21"/>
        </w:rPr>
      </w:pPr>
      <w:bookmarkStart w:id="22" w:name="_Toc208903650"/>
      <w:r>
        <w:rPr>
          <w:rFonts w:hint="eastAsia" w:ascii="仿宋" w:hAnsi="仿宋" w:eastAsia="仿宋"/>
          <w:b/>
          <w:sz w:val="28"/>
          <w:szCs w:val="21"/>
        </w:rPr>
        <w:t>（六）绩效评价过程</w:t>
      </w:r>
      <w:bookmarkEnd w:id="2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评价组进行现场评价工作，主要采取以下方式：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前期准备工作，成立绩效评价小组，对绩效评价工作调研，与项目实施单位负责人进行沟通、询问，了解有关资金使用管理及项目组织实施管理等情况。了解资金使用取得的成效、存在的主要问题及建议等，进行方案设计；</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（2）绩效材料收集，对预算部门和项目实施单位的档案材料进行案卷研究评价，对绩效评价专项资金相关政策文件和制度等资料进行收集，并核实项目申报资金拨付、管理及验收情况、绩效目标实现程度等；</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（3）指标体系手稿设计阶段，评价工作小组通过对相关业务部门采集回来的项目资料进行整理，提取绩效指标，确定指标标准、指标解释、评分标准及评分规则，设计绩效指标体系初始手稿，设计调查问卷；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（4）实地走访。评价组对项目进行实地调研；</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（5）绩效指标体系初稿阶段，拟写指标体系，完成指标体系初稿设计；</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（6）部门反馈意见阶段，征求预算部门和项目实施单位及委托单位的意见，并向预算单位下发补充资料清单；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（7）提交绩效评价报告，完成专项资金绩效评价报告，装订成册。</w:t>
      </w:r>
    </w:p>
    <w:p>
      <w:pPr>
        <w:spacing w:after="0" w:line="408" w:lineRule="auto"/>
        <w:ind w:firstLine="562" w:firstLineChars="200"/>
        <w:jc w:val="both"/>
        <w:outlineLvl w:val="1"/>
        <w:rPr>
          <w:rFonts w:hint="eastAsia" w:ascii="仿宋" w:hAnsi="仿宋" w:eastAsia="仿宋"/>
          <w:b/>
          <w:sz w:val="28"/>
          <w:szCs w:val="21"/>
        </w:rPr>
      </w:pPr>
      <w:bookmarkStart w:id="23" w:name="_Toc208903651"/>
      <w:r>
        <w:rPr>
          <w:rFonts w:hint="eastAsia" w:ascii="仿宋" w:hAnsi="仿宋" w:eastAsia="仿宋"/>
          <w:b/>
          <w:sz w:val="28"/>
          <w:szCs w:val="21"/>
        </w:rPr>
        <w:t>（七）绩效评价指标体系</w:t>
      </w:r>
      <w:bookmarkEnd w:id="23"/>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指标体系共设置4个一级指标、11个二级指标和34个三级指标。一级指标为决策、过程、产出和效益。其中：“决策”15分，主要体现项目立项、绩效目标和资金投入；“过程”24分，主要体现采购方式和程序合规性、绩效管理、组织实施；“产出”37分，主要体现产出数量、产出质量；“效益”24分，主要体现实施后的社会效益、可持续性效益，满意度。指标体系设定满分100分，评分等级：90分及以上为优，80-90分为良，60-80分为中，60分以下为差。绩效评价指标体系及分值表如下表3所示：</w:t>
      </w:r>
    </w:p>
    <w:p>
      <w:pPr>
        <w:spacing w:after="0" w:line="408" w:lineRule="auto"/>
        <w:jc w:val="center"/>
        <w:rPr>
          <w:rFonts w:hint="eastAsia" w:ascii="仿宋" w:hAnsi="仿宋" w:eastAsia="仿宋"/>
          <w:b/>
          <w:bCs/>
          <w:sz w:val="28"/>
          <w:szCs w:val="21"/>
        </w:rPr>
      </w:pPr>
      <w:r>
        <w:rPr>
          <w:rFonts w:hint="eastAsia" w:ascii="仿宋" w:hAnsi="仿宋" w:eastAsia="仿宋"/>
          <w:b/>
          <w:bCs/>
          <w:sz w:val="24"/>
          <w:szCs w:val="20"/>
        </w:rPr>
        <w:t>表3  2024年德化县就业补助金专项资金绩效评价指标体系</w:t>
      </w:r>
    </w:p>
    <w:tbl>
      <w:tblPr>
        <w:tblStyle w:val="90"/>
        <w:tblW w:w="10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833"/>
        <w:gridCol w:w="1467"/>
        <w:gridCol w:w="2128"/>
        <w:gridCol w:w="4024"/>
      </w:tblGrid>
      <w:tr>
        <w:tblPrEx>
          <w:tblLayout w:type="fixed"/>
          <w:tblCellMar>
            <w:top w:w="0" w:type="dxa"/>
            <w:left w:w="108" w:type="dxa"/>
            <w:bottom w:w="0" w:type="dxa"/>
            <w:right w:w="108" w:type="dxa"/>
          </w:tblCellMar>
        </w:tblPrEx>
        <w:trPr>
          <w:cantSplit/>
          <w:trHeight w:val="397" w:hRule="atLeast"/>
        </w:trPr>
        <w:tc>
          <w:tcPr>
            <w:tcW w:w="1060"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一级指标</w:t>
            </w:r>
          </w:p>
        </w:tc>
        <w:tc>
          <w:tcPr>
            <w:tcW w:w="1833"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二级指标</w:t>
            </w:r>
          </w:p>
        </w:tc>
        <w:tc>
          <w:tcPr>
            <w:tcW w:w="1467"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三级指标</w:t>
            </w:r>
          </w:p>
        </w:tc>
        <w:tc>
          <w:tcPr>
            <w:tcW w:w="2128"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指标解释</w:t>
            </w:r>
          </w:p>
        </w:tc>
        <w:tc>
          <w:tcPr>
            <w:tcW w:w="4024"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决策（15%）</w:t>
            </w:r>
          </w:p>
        </w:tc>
        <w:tc>
          <w:tcPr>
            <w:tcW w:w="1833"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项目立项（5分）</w:t>
            </w: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立项依据充分性（2分）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项目立项是否符合法律法规、相关政策、发展规划以及部门职责，用以反映和考核项目立项依据情况。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①项目立项是否符合国家法律法规、国民经济发展规划和相关政策；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②项目立项是否符合行业发展规划和政策要求；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③项目立项是否与部门职责范围相符，属于部门履职所需；</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④项目是否属于公共财政支持范围，是否符合中央、地方事权支出责任划分原则；</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⑤项目是否与相关部门同类项目或部门内部相关项目重复。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一项不符扣0.4分，扣完为止。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立项程序规范性（3分）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项目申请、设立过程是否符合相关要求，用以反映和考核项目立项的规范情况。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①项目是否按照规定的程序申请设立；</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②审批文件、材料是否符合相关要求；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③事前是否已经过必要的可行性研究、专家论证、风险评估、绩效评估、集体决策。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绩效目标（6分）</w:t>
            </w: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绩效目标合理性（3分）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项目所设定的绩效目标是否依据充分，是否符合客观实际，用以反映和考核项目绩效目标与项目实施的相符情况。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①项目是否有绩效目标且目标设置是否合理；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②项目绩效目标与实际工作内容是否具有相关性；</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③绩效目标设置是否完整、可理解。</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绩效目标明确性（3分）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依据绩效目标设定的绩效指标是否清晰、细化、可衡量等，用以反映和考核项目绩效目标的细化情况。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①是否将项目绩效目标细化分解为具体的绩效指标；</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②是否通过清晰、可衡量的指标值予以体现；</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③是否与项目目标任务数或计划数相对应。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资金投入（4分）</w:t>
            </w: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预算编制科学性（2分）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项目预算编制是否经过科学论证、有明确标准，资金额度与年度目标是否相适应，用以反映和考核项目预算编制的科学性、合理性情况。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①预算编制是否经过科学论证；</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②预算内容与项目内容是否匹配；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③预算额度测算依据是否充分，是否按照标准编制；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④预算确定的项目投资额或资金量是否与工作任务相匹配。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资金分配合理性（2分）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项目预算资金分配是否有测算依据；与补助单位或地方实际是否相适应。用以反映和考核项目预算资金分配的科学性、合理性情况。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①预算资金分配依据是否充分；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②资金分配额度是否合理，与项目单位或地方实际是否相适应。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过程（24%）</w:t>
            </w:r>
          </w:p>
        </w:tc>
        <w:tc>
          <w:tcPr>
            <w:tcW w:w="1833"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绩效管理（10分）</w:t>
            </w: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绩效自评合规性（3分）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是否按要求开展绩效自评工作；绩效自评报告是否报送及时，绩效自评是否真实可靠。</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①是否按要求开展绩效自评工作；</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②绩效自评报告是否报送及时；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③绩效自评报告是否完整，数据是否全面、真实、准确，绩效指标是否细化量化和科学合理。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预算执行率（3分）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项目预算资金是否按照计划执行，用以反映或考核项目预算执行情况（预算执行率=（实际支出资金/实际到位资金）×100%）。</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①95%≤预算执行率≤100%，得3分；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②90%≤预算执行率﹤95%，得2分；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③80%≤预算执行率﹤90%，得1分；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④预算执行率﹤80%，得0分。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资金到位率（2分）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实际到位资金与预算资金的比率，用以反映和考核资金落实情况对项目实施的总体保障程度。</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评价要点：资金到位率=（实际到位资金/预算资金）×100%。</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①90%≤资金到位率≤100%，得2分；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②90%≤资金到位率﹤70%，得1分；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③资金到位率﹤70%，得0分。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资金使用合规性（2分）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项目资金使用是否符合相关的财务管理制度规定，用以反映和考核项目资金的规范运行情况。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①是否符合国家财经法规和财务管理制度以及有关专项资金管理办法的规定；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②资金的拨付是否有完整的审批程序和手续；</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③是否符合项目预算批复或合同规定的用途；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④是否存在截留、挤占、挪用、虚列支出等情况。</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组织实施（14分）</w:t>
            </w: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管理制度健全性（4分）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项目实施单位的财务和业务管理制度是否健全，用以反映和考核财务和业务管理制度对项目顺利实施的保障情况。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①是否有使用相关管理制度文件来管理资金；</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②是否有专门制定相关的管理制度文件并正式发文；</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③管理制度文件是否严格执行；</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④财务和业务管理制度是否合法、合规、完整。</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一项不符扣 1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跟踪回访工作充足性（2分）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主管单位是否有对补贴后的人员及单位进行必要的跟踪回访工作。</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①是否有对通过补贴的单位或者个人进行跟踪回访工作；</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②跟踪回访工作是否及时、充足。</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文件执行的合规性（2分）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主管单位在开展补贴工作时是否严格按照文件的标准来开展执行补贴工作。</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①是否严格按照文件的标准来开展补贴工作；</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②补贴的金额是否符合文件的规定。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设立电子台账（2分）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主管单位对关于申报补贴的相关资料是否形成电子台账。</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评价要点：对于项目相关的资料是否形成电子台账进行电子管理。</w:t>
            </w:r>
          </w:p>
        </w:tc>
      </w:tr>
      <w:tr>
        <w:tblPrEx>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政务公开的合规性（2分）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主管单位对补贴项目是否进行必要的政务公开。</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①补贴项目是否有进行必要的公开；</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②是否所有应当公开的项目均有公开。</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对项目的监督考核（2分）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主管补贴对补贴项目是否进行必要的监督与考核。</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①对补贴项目是否进行必要的监督与考核；</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②对项目的监督与考核是否充足。</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产出（37%）</w:t>
            </w:r>
          </w:p>
        </w:tc>
        <w:tc>
          <w:tcPr>
            <w:tcW w:w="1833"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产出数量（22分）</w:t>
            </w: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公益性岗位补贴发放人数（4分）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2024年度通过申报享受公益性岗位补贴的人数。</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①补贴人数≥130人，得4分；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②130人&gt;补贴人数≥120人，得3分；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③120人&gt;补贴人数≥110人，得2分；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④110人&gt;补贴人数，得1分。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发放公益性岗位补贴的金额（4分）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2024年度发放公益性岗位补贴的金额。</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①补贴金额≥90万，得4分；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②90万&gt;补贴金额≥85万，得3分；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③85万&gt;补贴金额≥80万，得2分；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④80万&gt;补贴金额，得1分。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社保补贴发放人数（4分）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2024年度通过申报享受社保补贴发放的人数。</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①补贴人数≥110人，得4分；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②110人&gt;补贴人数≥100人，得3分；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③100人&gt;补贴人数≥90人，得2分；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④90人&gt;补贴人数，得1分。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发放社会保险补贴的金额（4分）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2024年度发放社会保险补贴的金额。</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①补贴金额≥50万，得4分；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②50万&gt;补贴金额≥45万，得3分；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③45万&gt;补贴金额≥40万，得2分；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④40万&gt;补贴金额，得1分。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发放就业见习补贴的金额（3分）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2024年度发放就业见习补贴的金额。</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①补贴金额≥20万，得3分；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②20万&gt;补贴金额≥15万，得2分；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③15万&gt;补贴金额≥10万，得1分。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就业创业服务补助金额（3分）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2024年度发放就业创业服务补助金额。</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①补贴金额≥200万，得3分；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②200万&gt;补贴金额≥190万，得2分；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③190万&gt;补贴金额≥180万，得1分。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产出质量（11分）</w:t>
            </w: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补贴兑现率（4分）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补贴是否达到足额兑现，是否全部足额发放给企业或个人。</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评价要点：补贴款足额发放给企业或个人，没有结余。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现场核查率（3分）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主管部门是否开展现场审核检查申请人员申报资料的真实性情况。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①现场核查率较高，得3分；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②现场核查率适中，得2分；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③现场核查率较低，得1分；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④未进行现场核查，得0分。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补贴发放的准确率（4分）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发放补贴是否准确地发放到群众的银行账户上，是否存在发放失败，发放错误的情况。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①发放准确率≥90%，得4分；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②90%&gt;发放准确率≥85%，得3分；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③85%&gt;发放准确率≥80%，得2分；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④80%&gt;发放准确率，得1分。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产出成本（4分）</w:t>
            </w: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成本节约率（4分）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项目产出成本是否控制在预算成本范围内。</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①项目产出成本率≤100%，得4分；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②项目产出成本率超出5%以内，得3分；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③项目产出成本率超出5%-10%，得2分；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④项目产出成本率超出10%-15%，得1分。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效益（24%）</w:t>
            </w:r>
          </w:p>
        </w:tc>
        <w:tc>
          <w:tcPr>
            <w:tcW w:w="1833"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社会效益（15分）</w:t>
            </w: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新增就业人数（3分）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2024年在德化地区新增就业人数情况。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①新增就业人数≥3500人，得3分；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②3500人&gt;新增就业人数≥3400人，得2分；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③3400人&gt;新增就业人数≥3300人，得1分；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④3300人&gt;新增就业人数，得0分。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大学生一次性生活补贴率（3分）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2024年度获得大学生一次性生活补贴的人数与首次来德化就业大学生人数的比率。</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①补贴率≥10%，得3分；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②10%&gt;补贴率≥8%，得2分；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③8%&gt;补贴率≥6%，得1分；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④6%&gt;补贴率，得0分。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城镇失业人员再就业人数（3分）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2024年度德化县城镇失业人员再就业人数情况。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①再就业人数≥500人，得3分；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②500人&gt;再就业人数≥400人，得2分；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③400人&gt;再就业人数≥300人，得1分；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④300人&gt;再就业人数，得0分。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开展技能培训人次（3分）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2024年度德化县开展技能培训的人次情况。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①培训人次≥2900人，得3分；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②2900人&gt;培训人次≥2800人，得2分；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③2800人&gt;培训人次≥2700人，得1分；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④2700人&gt;培训人次，得0分。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新增技能人才的数量（3分）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2024年度德化县新增技能人才的数量情况。</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①就业率≥2200人，得3分；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②2200人&gt;就业率≥2100人，得2分；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③2100人&gt;就业率≥2000人，得1分；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④2000人&gt;就业率，得0分。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可持续性指标（6分）</w:t>
            </w: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技能培训后的就业情况（3分）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参与技能培训或参与见证补贴的人员后续就业的情况，所培训的技能是否有促进就业，是否在相应所培训的岗位上就业。</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①就业率≥40%，得3分；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②40%&gt;就业率≥30%，得2分；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③30%&gt;就业率≥20%，得1分；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④20%&gt;就业率，得0分。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就业补助金政策的宣传力度（3分）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评价主管部门在就业补助金的宣传力度情况，宣传方式是否多样，宣传是否有效果，群众是否知晓。</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①宣传力度高，得3分；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②宣传力度较高，得2分；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③宣传力度适中，得1分；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④宣传力度较低，得0分；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6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833"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满意度（3分）</w:t>
            </w:r>
          </w:p>
        </w:tc>
        <w:tc>
          <w:tcPr>
            <w:tcW w:w="1467"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群众对就业补助金政策的满意度（3分）</w:t>
            </w:r>
          </w:p>
        </w:tc>
        <w:tc>
          <w:tcPr>
            <w:tcW w:w="2128"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人民群众对就业补助金政策是否感到满意。</w:t>
            </w:r>
          </w:p>
        </w:tc>
        <w:tc>
          <w:tcPr>
            <w:tcW w:w="402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①非常满意，得3分；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②很满意，得2分；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③满意，得1分；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④一般，得0分；</w:t>
            </w:r>
          </w:p>
        </w:tc>
      </w:tr>
    </w:tbl>
    <w:p>
      <w:pPr>
        <w:spacing w:after="0" w:line="408" w:lineRule="auto"/>
        <w:ind w:firstLine="562" w:firstLineChars="200"/>
        <w:outlineLvl w:val="0"/>
        <w:rPr>
          <w:rFonts w:hint="eastAsia" w:ascii="仿宋" w:hAnsi="仿宋" w:eastAsia="仿宋"/>
          <w:b/>
          <w:sz w:val="28"/>
          <w:szCs w:val="21"/>
        </w:rPr>
      </w:pPr>
      <w:bookmarkStart w:id="24" w:name="_Toc208903652"/>
      <w:r>
        <w:rPr>
          <w:rFonts w:hint="eastAsia" w:ascii="仿宋" w:hAnsi="仿宋" w:eastAsia="仿宋"/>
          <w:b/>
          <w:sz w:val="28"/>
          <w:szCs w:val="21"/>
        </w:rPr>
        <w:t>四、综合评价情况及评价结论</w:t>
      </w:r>
      <w:bookmarkEnd w:id="24"/>
    </w:p>
    <w:p>
      <w:pPr>
        <w:spacing w:after="0" w:line="408" w:lineRule="auto"/>
        <w:ind w:firstLine="562" w:firstLineChars="200"/>
        <w:jc w:val="both"/>
        <w:outlineLvl w:val="1"/>
        <w:rPr>
          <w:rFonts w:hint="eastAsia" w:ascii="仿宋" w:hAnsi="仿宋" w:eastAsia="仿宋"/>
          <w:b/>
          <w:sz w:val="28"/>
          <w:szCs w:val="21"/>
        </w:rPr>
      </w:pPr>
      <w:bookmarkStart w:id="25" w:name="_Toc208903653"/>
      <w:r>
        <w:rPr>
          <w:rFonts w:hint="eastAsia" w:ascii="仿宋" w:hAnsi="仿宋" w:eastAsia="仿宋"/>
          <w:b/>
          <w:sz w:val="28"/>
          <w:szCs w:val="21"/>
        </w:rPr>
        <w:t>（一）项目决策投入情况（权重为15%，得分14分）</w:t>
      </w:r>
      <w:bookmarkEnd w:id="2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决策投入指标15分，包括项目立项5分、绩效目标6分和资金投入4分等三个二级指标和六个三级指标，主要体现项目立项、绩效目标设置、预算编制及资金使用情况。</w:t>
      </w:r>
    </w:p>
    <w:p>
      <w:pPr>
        <w:spacing w:after="0" w:line="408" w:lineRule="auto"/>
        <w:ind w:firstLine="560" w:firstLineChars="200"/>
        <w:jc w:val="both"/>
        <w:outlineLvl w:val="2"/>
        <w:rPr>
          <w:rFonts w:hint="eastAsia" w:ascii="仿宋" w:hAnsi="仿宋" w:eastAsia="仿宋"/>
          <w:sz w:val="28"/>
          <w:szCs w:val="21"/>
        </w:rPr>
      </w:pPr>
      <w:bookmarkStart w:id="26" w:name="_Toc208903654"/>
      <w:r>
        <w:rPr>
          <w:rFonts w:hint="eastAsia" w:ascii="仿宋" w:hAnsi="仿宋" w:eastAsia="仿宋"/>
          <w:sz w:val="28"/>
          <w:szCs w:val="21"/>
        </w:rPr>
        <w:t>1.项目立项（分值为5分）</w:t>
      </w:r>
      <w:bookmarkEnd w:id="26"/>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项目立项（5分）主要从立项依据充分性（2分）和立项程序规范性（3分）两个三级指标进行评价。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（1）立项依据充分性（分值为2分）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“立项依据充分性”指标用于评价项目立项依据是否充分。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评价小组调查，2024年德化县就业补助金专项资金立项符合国家法律法规、国民经济发展规划和相关政策且项目立项，符合《德化县关于进一步加快青年人才集聚引领支持民营经济高质量发展的若干措施》《德化县关于吸引和留住外来员工支持民营经济高质量发展的若干措施》等相关文件的要求，德化县就业补助金专项资金的立项与德化县人力资源和社会保障局的职责范围相符。根据评分标准，此项得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（2）立项程序规范性（分值为3分）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“立项程序规范性”指标用于评价项目立项程序是否规范。</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评价小组调研，项目按照规定的程序申请立项，德化县人力资源和社会保障局提交的《2024年度德化县就业补助金专项资金绩效目标申报表》等材料符合《德化县关于进一步加快青年人才集聚引领支持民营经济高质量发展的若干措施》《德化县关于吸引和留住外来员工支持民营经济高质量发展的若干措施》等相关要求。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因此，项目立项合计得5分。</w:t>
      </w:r>
    </w:p>
    <w:p>
      <w:pPr>
        <w:spacing w:after="0" w:line="408" w:lineRule="auto"/>
        <w:ind w:firstLine="560" w:firstLineChars="200"/>
        <w:jc w:val="both"/>
        <w:outlineLvl w:val="2"/>
        <w:rPr>
          <w:rFonts w:hint="eastAsia" w:ascii="仿宋" w:hAnsi="仿宋" w:eastAsia="仿宋"/>
          <w:sz w:val="28"/>
          <w:szCs w:val="21"/>
        </w:rPr>
      </w:pPr>
      <w:bookmarkStart w:id="27" w:name="_Toc208903655"/>
      <w:r>
        <w:rPr>
          <w:rFonts w:hint="eastAsia" w:ascii="仿宋" w:hAnsi="仿宋" w:eastAsia="仿宋"/>
          <w:sz w:val="28"/>
          <w:szCs w:val="21"/>
        </w:rPr>
        <w:t>2.绩效目标（分值为6分）</w:t>
      </w:r>
      <w:bookmarkEnd w:id="2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绩效目标（6分）主要从绩效目标合理性（3分）和绩效目标明确性（3分）两个三级指标进行评价。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（1）绩效目标合理性（分值为3分）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“绩效目标合理性”指标用于评价项目绩效目标的设置情况。评价主体所设定的绩效目标是否依据充分，是否符合客观实际，用以反映和考核项目绩效目标与项目实施的相符情况。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绩效目标设置存在不合理之处。例如在“本科及以上应届高校毕业生一次性生活补贴和社保补助资金”的绩效自评表中，“通过一次性生活补贴政策吸引毕业生的企业数”指标的含义为企业数量，而本科及以上应届高校毕业生一次性生活补贴和社保补助资金的补贴对象为高校毕业生个人而非公司，该指标与该项目的补贴对象无关，该指标设置存在不合理。根据评分标准，此项得2分，扣1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（2）绩效目标明确性（分值为3分）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“绩效目标明确性”指标依据绩效目标设定的绩效指标是否清晰、细化、可衡量等，用以反映和考核项目绩效目标的明细化情况。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经过评价小组审查，德化县人力资源和社会保障局绩效目标设置具备明确性。在绩效目标表中将项目绩效目标细化分解为具体的绩效指标，三级指标清晰、可衡量。根据评分标准，此项得3分。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因此，绩效目标合计得5分。</w:t>
      </w:r>
    </w:p>
    <w:p>
      <w:pPr>
        <w:spacing w:after="0" w:line="408" w:lineRule="auto"/>
        <w:ind w:firstLine="560" w:firstLineChars="200"/>
        <w:jc w:val="both"/>
        <w:outlineLvl w:val="2"/>
        <w:rPr>
          <w:rFonts w:hint="eastAsia" w:ascii="仿宋" w:hAnsi="仿宋" w:eastAsia="仿宋"/>
          <w:sz w:val="28"/>
          <w:szCs w:val="21"/>
        </w:rPr>
      </w:pPr>
      <w:bookmarkStart w:id="28" w:name="_Toc208903656"/>
      <w:r>
        <w:rPr>
          <w:rFonts w:hint="eastAsia" w:ascii="仿宋" w:hAnsi="仿宋" w:eastAsia="仿宋"/>
          <w:sz w:val="28"/>
          <w:szCs w:val="21"/>
        </w:rPr>
        <w:t>3.资金投入（分值为4分）</w:t>
      </w:r>
      <w:bookmarkEnd w:id="28"/>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资金投入（4分）主要从预算编制科学性（2分）和资金分配合理性（2分）两个三级指标进行评价。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w:t>
      </w:r>
      <w:bookmarkStart w:id="29" w:name="_Hlk174274167"/>
      <w:r>
        <w:rPr>
          <w:rFonts w:hint="eastAsia" w:ascii="仿宋" w:hAnsi="仿宋" w:eastAsia="仿宋"/>
          <w:sz w:val="28"/>
          <w:szCs w:val="21"/>
        </w:rPr>
        <w:t>预算编制科学性</w:t>
      </w:r>
      <w:bookmarkEnd w:id="29"/>
      <w:r>
        <w:rPr>
          <w:rFonts w:hint="eastAsia" w:ascii="仿宋" w:hAnsi="仿宋" w:eastAsia="仿宋"/>
          <w:sz w:val="28"/>
          <w:szCs w:val="21"/>
        </w:rPr>
        <w:t>（2分）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“预算编制科学性”评价项目预算编制是否经过科学论证、有明确标准，资金额度与年度目标是否相适应，用以反映和考核项目预算编制的科学性、合理性情况。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2024年度德化县人力资源和社会保障局在就业补助金的项目预算中预算编制具备科学性。能够做到测算依据充分，严格按照相关文件标准编制预算，能够做到预算确定的项目投资额或资金量与工作任务相匹配，根据评分标准，此项得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（2）资金分配合理性（2分）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“资金分配合理性”指标用于评价项目预算资金分配是否有测算依据；与补助单位或地方实际是否相适应。用以反映和考核项目预算资金分配的科学性、合理性情况。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经过评价小组审查，2024年度德化县人力资源和社会保障局在进行专项资金的分配时资金分配合理，符合项目的实际情况。根据评分标准，此项得2分。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因此，资金投入合计得4分。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综上所述，项目决策共计15分，得14分。</w:t>
      </w:r>
    </w:p>
    <w:p>
      <w:pPr>
        <w:spacing w:after="0" w:line="408" w:lineRule="auto"/>
        <w:ind w:firstLine="562" w:firstLineChars="200"/>
        <w:jc w:val="both"/>
        <w:outlineLvl w:val="1"/>
        <w:rPr>
          <w:rFonts w:hint="eastAsia" w:ascii="仿宋" w:hAnsi="仿宋" w:eastAsia="仿宋"/>
          <w:b/>
          <w:sz w:val="28"/>
          <w:szCs w:val="21"/>
        </w:rPr>
      </w:pPr>
      <w:bookmarkStart w:id="30" w:name="_Toc208903657"/>
      <w:r>
        <w:rPr>
          <w:rFonts w:hint="eastAsia" w:ascii="仿宋" w:hAnsi="仿宋" w:eastAsia="仿宋"/>
          <w:b/>
          <w:sz w:val="28"/>
          <w:szCs w:val="21"/>
        </w:rPr>
        <w:t>（二）项目过程情况（权重为24%，得分19分）</w:t>
      </w:r>
      <w:bookmarkEnd w:id="30"/>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过程指标24分，包括绩效管理10分、组织实施14分等二个二级指标和十个三级指标，主要反映实现绩效目标的采购执行情况、监督情况、采购过程情况。</w:t>
      </w:r>
    </w:p>
    <w:p>
      <w:pPr>
        <w:spacing w:after="0" w:line="408" w:lineRule="auto"/>
        <w:ind w:firstLine="560" w:firstLineChars="200"/>
        <w:jc w:val="both"/>
        <w:outlineLvl w:val="2"/>
        <w:rPr>
          <w:rFonts w:hint="eastAsia" w:ascii="仿宋" w:hAnsi="仿宋" w:eastAsia="仿宋"/>
          <w:sz w:val="28"/>
          <w:szCs w:val="21"/>
        </w:rPr>
      </w:pPr>
      <w:bookmarkStart w:id="31" w:name="_Toc208903658"/>
      <w:r>
        <w:rPr>
          <w:rFonts w:hint="eastAsia" w:ascii="仿宋" w:hAnsi="仿宋" w:eastAsia="仿宋"/>
          <w:sz w:val="28"/>
          <w:szCs w:val="21"/>
        </w:rPr>
        <w:t>1.绩效管理（10分）</w:t>
      </w:r>
      <w:bookmarkEnd w:id="31"/>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绩效管理（10分）主要从绩效自评合规性（3分）、预算执行率（3分）、资金到位率（2分）、资金使用合规性（2分）四个三级指标进行评价。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（1）绩效自评合规性（3分）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“绩效自评合规性”指标用于评价项目的绩效自评表是否按照规定及时报送，自评表的绩效目标设置是否合规合理。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在就业补助金专项资金项目中的绩效自评，存在不合规之处。例如在“本科及以上应届高校毕业生一次性生活补贴和社保补助资金”的绩效自评表中发放补贴人数填写数量为20，但根据政务公开中第一期至第四期的“本科及以上应届高校毕业生一次性生活补贴和社保补助资金”人员名单统计，通过补贴的人数为25人。绩效自评填写数量与实际通过补贴数量人员不符，存在自评不合规之处。根据评分标准，此项得2分，扣1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（2）预算执行率（3分）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“预算执行率”指标用于评价项目实施过程中项目预算资金是否按照计划执行，用以反映或考核项目预算执行情况（预算执行率=实际支付资金金额/项目预算资金总额*100%）。</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就业补助金项目2024年度全年预算金额为12,922,900.00元（其中由福建德化县陶瓷产业园区管理委员会收到“省级高技能人才培训基地”项目资金5,000,000.00元）。2024年度预算执行金额为10,776,545.02元（其中由福建德化县陶瓷产业园区管理委员会支出“省级高技能人才培训基地”项目资金2,880,000.00元）。</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福建德化县陶瓷产业园区管理委员会的“省级高技能人才培训基地”项目预算资金5,000,000.00元，实际收到财政资金为5,000,000.00元，2024年度实际支出资金为2,880,000.00元。由于该笔资金的收支并没有经过德化县人力资源和社会保障局的资金账户，而是直接由财政拨付给福建德化县陶瓷产业园区管理委员会，并在实际支出时直接由福建德化县陶瓷产业园区管理委员会支出。故计算预算执行率时不考虑该项目的资金预算及资金收支。</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在2024年度就业补助金的支出中有25,340.00元资金，属于直接由财政支付拨付给相关单位，故计算预算执行率时不考虑该项目的资金预算及资金收支。</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2024年度德化县人力资源和社会保障局就业补助金项目的预算执行率为99.99%。(12,922,900.00-5,000,000.00-25,340.00)/(10,776,545.02- 2,880,000.00)=99.99%.根据评分标准，此项得3分。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（3）资金到位率（2分）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“资金到位率”指标用于评价项目资金实际到位资金与预算资金的比率，用以反映和考核资金落实情况对项目实施的总体保障程度。</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在就业补助金项目中预算资金12,922,900.00元，实际到位资金12,922,900.00元（其中福建德化县陶瓷产业园区管理委员会收到资金5,000,000.00元，就业补助金中有25,340.00元资金，属于直接由财政支付拨付给相关单位），故资金到位率100%。根据评分标准，此项得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（4）资金使用合规性（2分）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“资金使用合规性”指标用于评价项目资金使用是否符合相关的财务管理制度规定，用以反映和考核项目资金的规范运行情况。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在就业补助金项目中资金使用符合国家财经法规和财务管理制度以及有关专项资金管理办法的规定，在资金使用过程中不存在截留、挤占、挪用、虚列支出等情况。根据评分标准，此项得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因此，绩效管理合计得9分。</w:t>
      </w:r>
    </w:p>
    <w:p>
      <w:pPr>
        <w:spacing w:after="0" w:line="408" w:lineRule="auto"/>
        <w:ind w:firstLine="560" w:firstLineChars="200"/>
        <w:jc w:val="both"/>
        <w:outlineLvl w:val="2"/>
        <w:rPr>
          <w:rFonts w:hint="eastAsia" w:ascii="仿宋" w:hAnsi="仿宋" w:eastAsia="仿宋"/>
          <w:sz w:val="28"/>
          <w:szCs w:val="21"/>
        </w:rPr>
      </w:pPr>
      <w:bookmarkStart w:id="32" w:name="_Toc208903659"/>
      <w:r>
        <w:rPr>
          <w:rFonts w:hint="eastAsia" w:ascii="仿宋" w:hAnsi="仿宋" w:eastAsia="仿宋"/>
          <w:sz w:val="28"/>
          <w:szCs w:val="21"/>
        </w:rPr>
        <w:t>2.组织实施（14分）</w:t>
      </w:r>
      <w:bookmarkEnd w:id="3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组织实施（14分）主要从管理制度健全性（4分）、跟踪回访工作充足性（2分）、文件执行的合规性（2分）、电子台账的充足性（2分）、政务公开的合规性（2分）、对项目的监督考核（2分）六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（1）管理制度健全性（4分）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“管理制度健全性”指标用于评价项目实施单位的财务和业务管理制度是否健全，用以反映和考核财务和业务管理制度对项目顺利实施的保障情况。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在就业补助金专项资金项目中虽然有县里有专门为就业补助资金设立资金管理规定的文件，但是该文件并没有正式发文，并不属于正式的文件。根据评分标准，此项得3分，扣1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（2）跟踪回访工作充足性（2分）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“跟踪回访工作充足性”指标用于评价主管单位是否有对补贴后的人员及单位进行必要的跟踪回访工作。</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在就业补助金项目中，对于申请大学生生活补贴的学生，人社局对受补贴的学生后续在岗在职情况的跟踪回访不足，没有对大学生的就业情况进行持续跟踪来调查补贴所产生的效益情况。对于见证补贴，仅仅只是根据受补贴人通过考试拿到证书进行补贴，没有对受补贴人的后续就业情况进行跟踪回访，对补贴后的效益情况无法做到深入跟踪。只能体现这些申请补贴的人通过了考试。根据评分标准，此项得1分，扣1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（3）文件执行的合规性（2分）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“文件执行的合规性”指标用于评价主管单位在开展补贴工作时是否严格按照文件的标准来开展执行补贴工作。</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在就业补助金项目中大体均有按照补贴文件严格执行。在进行2023年度县级技能大师工作室评审时，由于专家评审的分数第10名有两家工作室的分数并列，从公平的角度出发，并经会议研究、公示等程序，最终确定评选11家。由于评选家数可能存在并列等不可控因素，但是评选程序符合文件要求。根据评分标准，此项得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（4）设立电子台账（2分）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“设立电子台账”指标用于评价在项目实施过程中，主管单位对关于申报补贴的相关资料是否形成电子台账。</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在就业补助金项目中对就业补助金申请人所提交的纸质资料，主要采用纸质审查与纸质归档，仅有少部分设立电子台账与电子扫描件进行归档。设立电子台账存在不足。根据评分标准，此项得1分，扣1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（5）政务公开的合规性（2分）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“政务公开的合规性”指标用于评价在项目实施过程中，主管单位对补贴项目是否进行必要的政务公开。</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在就业补助金项目中“德化县2024年百家名企新春招聘展播视频录制服务费用项目”补贴金额7.5万元，该项目未在德化县人民政府政务公开中进行公示。“德化县2024年“春风行动”暨春季人才招聘交流会服务费用项目”补贴金额2,5万，该项目未在德化县人民政府政务公开中进行公示。根据评分标准，此项得1分，扣1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（6）对项目的监督考核（2分）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“对项目的监督考核”指标用于评价在项目实施过程中，主管补贴对补贴项目是否进行必要的监督与考核。</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人力资源和社会保障局在就业补助金项目中有对补贴项目开展必要的监督审查工作。对于德化陶瓷产业园区管理委员会的“高技能人才培训基地”项目，项目建设期间为2024年及2025年两年，作为属地的人社和财政部门加强项目建设的指导和监督检查。2024年，人社和财政部门有通过召开会议、座谈交流、实地检查等方式开展项目建设的指导和监督检查。根据评分标准，此项得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因此，组织实施合计得10分。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综上所述，项目过程共计24分，得19分。</w:t>
      </w:r>
    </w:p>
    <w:p>
      <w:pPr>
        <w:spacing w:after="0" w:line="408" w:lineRule="auto"/>
        <w:ind w:firstLine="562" w:firstLineChars="200"/>
        <w:jc w:val="both"/>
        <w:outlineLvl w:val="1"/>
        <w:rPr>
          <w:rFonts w:hint="eastAsia" w:ascii="仿宋" w:hAnsi="仿宋" w:eastAsia="仿宋"/>
          <w:b/>
          <w:sz w:val="28"/>
          <w:szCs w:val="21"/>
        </w:rPr>
      </w:pPr>
      <w:bookmarkStart w:id="33" w:name="_Toc208903660"/>
      <w:r>
        <w:rPr>
          <w:rFonts w:hint="eastAsia" w:ascii="仿宋" w:hAnsi="仿宋" w:eastAsia="仿宋"/>
          <w:b/>
          <w:sz w:val="28"/>
          <w:szCs w:val="21"/>
        </w:rPr>
        <w:t>（三）项目产出情况（权重为37%，得分35分）</w:t>
      </w:r>
      <w:bookmarkEnd w:id="33"/>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产出指标37分，包括产出数量22分、产出质量11分、产出成本（4分），三个二级指标和十个三级指标，主要反映实现绩效目标的产出数量情况和产出质量情况。</w:t>
      </w:r>
    </w:p>
    <w:p>
      <w:pPr>
        <w:spacing w:after="0" w:line="408" w:lineRule="auto"/>
        <w:ind w:firstLine="560" w:firstLineChars="200"/>
        <w:jc w:val="both"/>
        <w:outlineLvl w:val="2"/>
        <w:rPr>
          <w:rFonts w:hint="eastAsia" w:ascii="仿宋" w:hAnsi="仿宋" w:eastAsia="仿宋"/>
          <w:sz w:val="28"/>
          <w:szCs w:val="21"/>
        </w:rPr>
      </w:pPr>
      <w:bookmarkStart w:id="34" w:name="_Toc208903661"/>
      <w:r>
        <w:rPr>
          <w:rFonts w:hint="eastAsia" w:ascii="仿宋" w:hAnsi="仿宋" w:eastAsia="仿宋"/>
          <w:sz w:val="28"/>
          <w:szCs w:val="21"/>
        </w:rPr>
        <w:t>1.产出数量（分值为22分）</w:t>
      </w:r>
      <w:bookmarkEnd w:id="34"/>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产出数量（22分）主要从公益性岗位补贴发放人数（4分）、发放公益性岗位补贴的金额（4分）、社保补贴发放人数（4分）、发放社会保险补贴的金额（4分）、发放就业见习补贴的金额（3分）、就业创业服务补助金额（3分）六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（1）公益性岗位补贴发放人数（4分）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“公益性岗位补贴发放人数”指标用于评价2024年度通过申报享受公益性岗位补贴的人数。</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经过评价小组审查，根据德化县人力资源和社会保障局所提供的资料显示，2024年度德化县人力资源和社会保障局</w:t>
      </w:r>
      <w:r>
        <w:rPr>
          <w:rFonts w:ascii="仿宋" w:hAnsi="仿宋" w:eastAsia="仿宋"/>
          <w:sz w:val="28"/>
          <w:szCs w:val="21"/>
        </w:rPr>
        <w:t>公益性岗位补贴发放人数</w:t>
      </w:r>
      <w:r>
        <w:rPr>
          <w:rFonts w:hint="eastAsia" w:ascii="仿宋" w:hAnsi="仿宋" w:eastAsia="仿宋"/>
          <w:sz w:val="28"/>
          <w:szCs w:val="21"/>
        </w:rPr>
        <w:t>为</w:t>
      </w:r>
      <w:r>
        <w:rPr>
          <w:rFonts w:ascii="仿宋" w:hAnsi="仿宋" w:eastAsia="仿宋"/>
          <w:sz w:val="28"/>
          <w:szCs w:val="21"/>
        </w:rPr>
        <w:t>131人</w:t>
      </w:r>
      <w:r>
        <w:rPr>
          <w:rFonts w:hint="eastAsia" w:ascii="仿宋" w:hAnsi="仿宋" w:eastAsia="仿宋"/>
          <w:sz w:val="28"/>
          <w:szCs w:val="21"/>
        </w:rPr>
        <w:t>。根据评分标准，此项得4分。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（2）发放公益性岗位补贴的金额（4分）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“发放公益性岗位补贴的金额”指标用于评价2024年度发放公益性岗位补贴的金额。</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经过评价小组审查，根据德化县人力资源和社会保障局所提供的资料显示，2</w:t>
      </w:r>
      <w:r>
        <w:rPr>
          <w:rFonts w:ascii="仿宋" w:hAnsi="仿宋" w:eastAsia="仿宋"/>
          <w:sz w:val="28"/>
          <w:szCs w:val="21"/>
        </w:rPr>
        <w:t>024</w:t>
      </w:r>
      <w:r>
        <w:rPr>
          <w:rFonts w:hint="eastAsia" w:ascii="仿宋" w:hAnsi="仿宋" w:eastAsia="仿宋"/>
          <w:sz w:val="28"/>
          <w:szCs w:val="21"/>
        </w:rPr>
        <w:t>年度德化县人力资源和社会保障局</w:t>
      </w:r>
      <w:r>
        <w:rPr>
          <w:rFonts w:ascii="仿宋" w:hAnsi="仿宋" w:eastAsia="仿宋"/>
          <w:sz w:val="28"/>
          <w:szCs w:val="21"/>
        </w:rPr>
        <w:t>公益性岗位补贴发放人数</w:t>
      </w:r>
      <w:r>
        <w:rPr>
          <w:rFonts w:hint="eastAsia" w:ascii="仿宋" w:hAnsi="仿宋" w:eastAsia="仿宋"/>
          <w:sz w:val="28"/>
          <w:szCs w:val="21"/>
        </w:rPr>
        <w:t>为</w:t>
      </w:r>
      <w:r>
        <w:rPr>
          <w:rFonts w:ascii="仿宋" w:hAnsi="仿宋" w:eastAsia="仿宋"/>
          <w:sz w:val="28"/>
          <w:szCs w:val="21"/>
        </w:rPr>
        <w:t>131人，</w:t>
      </w:r>
      <w:r>
        <w:rPr>
          <w:rFonts w:hint="eastAsia" w:ascii="仿宋" w:hAnsi="仿宋" w:eastAsia="仿宋"/>
          <w:sz w:val="28"/>
          <w:szCs w:val="21"/>
        </w:rPr>
        <w:t>2024年度累计</w:t>
      </w:r>
      <w:r>
        <w:rPr>
          <w:rFonts w:ascii="仿宋" w:hAnsi="仿宋" w:eastAsia="仿宋"/>
          <w:sz w:val="28"/>
          <w:szCs w:val="21"/>
        </w:rPr>
        <w:t>发放公益性岗位补贴97.088万元</w:t>
      </w:r>
      <w:r>
        <w:rPr>
          <w:rFonts w:hint="eastAsia" w:ascii="仿宋" w:hAnsi="仿宋" w:eastAsia="仿宋"/>
          <w:sz w:val="28"/>
          <w:szCs w:val="21"/>
        </w:rPr>
        <w:t>。根据评分标准，此项得4分。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（3）社保补贴发放人数（4分）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“社保补贴发放人数”指标用于评价2024年度通过申报享受社保补贴发放的人数。</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经过评价小组审查，根据德化县人力资源和社会保障局所提供的资料显示，2</w:t>
      </w:r>
      <w:r>
        <w:rPr>
          <w:rFonts w:ascii="仿宋" w:hAnsi="仿宋" w:eastAsia="仿宋"/>
          <w:sz w:val="28"/>
          <w:szCs w:val="21"/>
        </w:rPr>
        <w:t>024</w:t>
      </w:r>
      <w:r>
        <w:rPr>
          <w:rFonts w:hint="eastAsia" w:ascii="仿宋" w:hAnsi="仿宋" w:eastAsia="仿宋"/>
          <w:sz w:val="28"/>
          <w:szCs w:val="21"/>
        </w:rPr>
        <w:t>年度德化县人力资源和社会保障局</w:t>
      </w:r>
      <w:r>
        <w:rPr>
          <w:rFonts w:ascii="仿宋" w:hAnsi="仿宋" w:eastAsia="仿宋"/>
          <w:sz w:val="28"/>
          <w:szCs w:val="21"/>
        </w:rPr>
        <w:t>社保补贴发放人数</w:t>
      </w:r>
      <w:r>
        <w:rPr>
          <w:rFonts w:hint="eastAsia" w:ascii="仿宋" w:hAnsi="仿宋" w:eastAsia="仿宋"/>
          <w:sz w:val="28"/>
          <w:szCs w:val="21"/>
        </w:rPr>
        <w:t>为</w:t>
      </w:r>
      <w:r>
        <w:rPr>
          <w:rFonts w:ascii="仿宋" w:hAnsi="仿宋" w:eastAsia="仿宋"/>
          <w:sz w:val="28"/>
          <w:szCs w:val="21"/>
        </w:rPr>
        <w:t>113人</w:t>
      </w:r>
      <w:r>
        <w:rPr>
          <w:rFonts w:hint="eastAsia" w:ascii="仿宋" w:hAnsi="仿宋" w:eastAsia="仿宋"/>
          <w:sz w:val="28"/>
          <w:szCs w:val="21"/>
        </w:rPr>
        <w:t>。根据评分标准，此项得4分。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（4）发放社会保险补贴的金额（4分）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“发放社会保险补贴的金额”指标用于评价2024年度申报发放社会保险补贴的金额。</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经过评价小组审查，根据德化县人力资源和社会保障局所提供的资料显示，2</w:t>
      </w:r>
      <w:r>
        <w:rPr>
          <w:rFonts w:ascii="仿宋" w:hAnsi="仿宋" w:eastAsia="仿宋"/>
          <w:sz w:val="28"/>
          <w:szCs w:val="21"/>
        </w:rPr>
        <w:t>024</w:t>
      </w:r>
      <w:r>
        <w:rPr>
          <w:rFonts w:hint="eastAsia" w:ascii="仿宋" w:hAnsi="仿宋" w:eastAsia="仿宋"/>
          <w:sz w:val="28"/>
          <w:szCs w:val="21"/>
        </w:rPr>
        <w:t>年度德化县人力资源和社会保障局</w:t>
      </w:r>
      <w:r>
        <w:rPr>
          <w:rFonts w:ascii="仿宋" w:hAnsi="仿宋" w:eastAsia="仿宋"/>
          <w:sz w:val="28"/>
          <w:szCs w:val="21"/>
        </w:rPr>
        <w:t>社保补贴发放人数</w:t>
      </w:r>
      <w:r>
        <w:rPr>
          <w:rFonts w:hint="eastAsia" w:ascii="仿宋" w:hAnsi="仿宋" w:eastAsia="仿宋"/>
          <w:sz w:val="28"/>
          <w:szCs w:val="21"/>
        </w:rPr>
        <w:t>为</w:t>
      </w:r>
      <w:r>
        <w:rPr>
          <w:rFonts w:ascii="仿宋" w:hAnsi="仿宋" w:eastAsia="仿宋"/>
          <w:sz w:val="28"/>
          <w:szCs w:val="21"/>
        </w:rPr>
        <w:t>113人</w:t>
      </w:r>
      <w:r>
        <w:rPr>
          <w:rFonts w:hint="eastAsia" w:ascii="仿宋" w:hAnsi="仿宋" w:eastAsia="仿宋"/>
          <w:sz w:val="28"/>
          <w:szCs w:val="21"/>
        </w:rPr>
        <w:t>，2024年度累计</w:t>
      </w:r>
      <w:r>
        <w:rPr>
          <w:rFonts w:ascii="仿宋" w:hAnsi="仿宋" w:eastAsia="仿宋"/>
          <w:sz w:val="28"/>
          <w:szCs w:val="21"/>
        </w:rPr>
        <w:t>发放社会保险补贴53.53万元</w:t>
      </w:r>
      <w:r>
        <w:rPr>
          <w:rFonts w:hint="eastAsia" w:ascii="仿宋" w:hAnsi="仿宋" w:eastAsia="仿宋"/>
          <w:sz w:val="28"/>
          <w:szCs w:val="21"/>
        </w:rPr>
        <w:t>。根据评分标准，此项得4分。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（5）发放就业见习补贴的金额（3分）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“发放就业见习补贴的金额”指标用于评价2024年度申报发放就业见习补贴的金额。</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经过评价小组审查，根据德化县人力资源和社会保障局所提供的资料显示，2</w:t>
      </w:r>
      <w:r>
        <w:rPr>
          <w:rFonts w:ascii="仿宋" w:hAnsi="仿宋" w:eastAsia="仿宋"/>
          <w:sz w:val="28"/>
          <w:szCs w:val="21"/>
        </w:rPr>
        <w:t>024</w:t>
      </w:r>
      <w:r>
        <w:rPr>
          <w:rFonts w:hint="eastAsia" w:ascii="仿宋" w:hAnsi="仿宋" w:eastAsia="仿宋"/>
          <w:sz w:val="28"/>
          <w:szCs w:val="21"/>
        </w:rPr>
        <w:t>年度德化县人力资源和社会保障局2024年度累计</w:t>
      </w:r>
      <w:r>
        <w:rPr>
          <w:rFonts w:ascii="仿宋" w:hAnsi="仿宋" w:eastAsia="仿宋"/>
          <w:sz w:val="28"/>
          <w:szCs w:val="21"/>
        </w:rPr>
        <w:t>发放就业见习补贴21.72万元</w:t>
      </w:r>
      <w:r>
        <w:rPr>
          <w:rFonts w:hint="eastAsia" w:ascii="仿宋" w:hAnsi="仿宋" w:eastAsia="仿宋"/>
          <w:sz w:val="28"/>
          <w:szCs w:val="21"/>
        </w:rPr>
        <w:t>。根据评分标准，此项得3分。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（6）就业创业服务补助金额（3分）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“就业创业服务补助金额”指标用于评价2024年度申报发放就业创业服务补助金额。</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经过评价小组审查，根据德化县人力资源和社会保障局所提供的资料显示，2</w:t>
      </w:r>
      <w:r>
        <w:rPr>
          <w:rFonts w:ascii="仿宋" w:hAnsi="仿宋" w:eastAsia="仿宋"/>
          <w:sz w:val="28"/>
          <w:szCs w:val="21"/>
        </w:rPr>
        <w:t>024</w:t>
      </w:r>
      <w:r>
        <w:rPr>
          <w:rFonts w:hint="eastAsia" w:ascii="仿宋" w:hAnsi="仿宋" w:eastAsia="仿宋"/>
          <w:sz w:val="28"/>
          <w:szCs w:val="21"/>
        </w:rPr>
        <w:t>年度德化县人力资源和社会保障局2024年度累计</w:t>
      </w:r>
      <w:r>
        <w:rPr>
          <w:rFonts w:ascii="仿宋" w:hAnsi="仿宋" w:eastAsia="仿宋"/>
          <w:sz w:val="28"/>
          <w:szCs w:val="21"/>
        </w:rPr>
        <w:t>发放</w:t>
      </w:r>
      <w:r>
        <w:rPr>
          <w:rFonts w:hint="eastAsia" w:ascii="仿宋" w:hAnsi="仿宋" w:eastAsia="仿宋"/>
          <w:sz w:val="28"/>
          <w:szCs w:val="21"/>
        </w:rPr>
        <w:t>就业创业服务补助228.98万元。根据评分标准，此项得3分。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因此，产出数量合计得22分</w:t>
      </w:r>
    </w:p>
    <w:p>
      <w:pPr>
        <w:spacing w:after="0" w:line="408" w:lineRule="auto"/>
        <w:ind w:firstLine="560" w:firstLineChars="200"/>
        <w:jc w:val="both"/>
        <w:outlineLvl w:val="2"/>
        <w:rPr>
          <w:rFonts w:hint="eastAsia" w:ascii="仿宋" w:hAnsi="仿宋" w:eastAsia="仿宋"/>
          <w:sz w:val="28"/>
          <w:szCs w:val="21"/>
        </w:rPr>
      </w:pPr>
      <w:bookmarkStart w:id="35" w:name="_Toc208903662"/>
      <w:r>
        <w:rPr>
          <w:rFonts w:hint="eastAsia" w:ascii="仿宋" w:hAnsi="仿宋" w:eastAsia="仿宋"/>
          <w:sz w:val="28"/>
          <w:szCs w:val="21"/>
        </w:rPr>
        <w:t>2.产出质量（分值为11分）</w:t>
      </w:r>
      <w:bookmarkEnd w:id="3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产出质量（11分）主要从补贴兑现率（4分）、现场核查率（3分）、补贴发放的准确率（4分）三个三级指标进行评价。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（1）补贴兑现率（4分）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“补贴兑现率”指标用于评价2024年度补贴是否达到足额兑现，是否全部足额发放给企业或个人。</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走访德化县人力资源和社会保障局询问相关人员，在就业补助金中2024年度申报相关补贴通过的人员或企业，除后期通过审查发现条件补贴取消补贴资格或收回补贴外，人社局均将补贴兑现足额发放。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（2）现场核查率（3分）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“现场核查率”指标用于评价德化县人力资源和社会保障局是否开展现场审核检查申请人员申报资料的真实性情况。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走访德化县人力资源和社会保障局询问相关人员，德化县人力资源和社会保障局在大学生生活补贴项目中现场核实大学生在岗就业情况比例的人数大约占10%；在德化县高校毕业生来泉就业安居补助项目中，主要通过系统进行社保核查以及核查企业所提供的资料，现场核查较少；在德化县支持优化用工环境构建和谐劳动关系一次性稳定就业奖补项目中，主要核查企业工资银行流水，现场核查较少。德化县人社局在补贴项目中现场核查比例较低，根据评分标准，此项得1分，扣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（3）补贴发放的准确率（4分）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“补贴发放的准确率”指标用于评价发放补贴是否准确地发放到群众的银行账户上，是否存在发放失败，发放错误的情况。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走访德化县人力资源和社会保障局询问相关人员，就业补助金项目发放基本不存在发放错误的情况，补贴发放的准确率较高，除后期审查不符合条件取消补贴资格的人员除外，所有的补贴资金都有发放给相关人员。根据评分标准，此项得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因此，产出质量合计得9分。</w:t>
      </w:r>
    </w:p>
    <w:p>
      <w:pPr>
        <w:spacing w:after="0" w:line="408" w:lineRule="auto"/>
        <w:ind w:firstLine="560" w:firstLineChars="200"/>
        <w:jc w:val="both"/>
        <w:outlineLvl w:val="2"/>
        <w:rPr>
          <w:rFonts w:hint="eastAsia" w:ascii="仿宋" w:hAnsi="仿宋" w:eastAsia="仿宋"/>
          <w:sz w:val="28"/>
          <w:szCs w:val="21"/>
        </w:rPr>
      </w:pPr>
      <w:bookmarkStart w:id="36" w:name="_Toc208903663"/>
      <w:r>
        <w:rPr>
          <w:rFonts w:hint="eastAsia" w:ascii="仿宋" w:hAnsi="仿宋" w:eastAsia="仿宋"/>
          <w:sz w:val="28"/>
          <w:szCs w:val="21"/>
        </w:rPr>
        <w:t>3.产出成本（分值为4分）</w:t>
      </w:r>
      <w:bookmarkEnd w:id="36"/>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产出成本（4分）主要从成本节约率（4分）一个三级指标进行评价。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（1）成本节约率（4分）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“成本节约率”指标用于评价项目产出成本是否控制在预算成本范围内。</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经过评价小组审查，通过走访德化县人力资源和社会保障局询问相关人员，2024年度就业补助金项目预算金额12,922,900.00元，实际支出金额10,776,545.02元，不存在超支情况。根据评分标准，此项得4分。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因此，产出成本合计得4分。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综上所述，项目产出共计37分，得35分。</w:t>
      </w:r>
    </w:p>
    <w:p>
      <w:pPr>
        <w:spacing w:after="0" w:line="408" w:lineRule="auto"/>
        <w:ind w:firstLine="562" w:firstLineChars="200"/>
        <w:jc w:val="both"/>
        <w:outlineLvl w:val="1"/>
        <w:rPr>
          <w:rFonts w:hint="eastAsia" w:ascii="仿宋" w:hAnsi="仿宋" w:eastAsia="仿宋"/>
          <w:b/>
          <w:sz w:val="28"/>
          <w:szCs w:val="21"/>
        </w:rPr>
      </w:pPr>
      <w:bookmarkStart w:id="37" w:name="_Toc208903664"/>
      <w:r>
        <w:rPr>
          <w:rFonts w:hint="eastAsia" w:ascii="仿宋" w:hAnsi="仿宋" w:eastAsia="仿宋"/>
          <w:b/>
          <w:sz w:val="28"/>
          <w:szCs w:val="21"/>
        </w:rPr>
        <w:t>（四）项目效益情况（权重为24%，得分21分）</w:t>
      </w:r>
      <w:bookmarkEnd w:id="3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效益指标24分，包括社会效益（15分）、可持续性指标（6分）、满意度（3分）等三个二级指标和八个三级指标，主要反映实现绩效目标的社会效益，经济效益与对项目实施结果的满意度情况。</w:t>
      </w:r>
    </w:p>
    <w:p>
      <w:pPr>
        <w:spacing w:after="0" w:line="408" w:lineRule="auto"/>
        <w:ind w:firstLine="560" w:firstLineChars="200"/>
        <w:jc w:val="both"/>
        <w:outlineLvl w:val="2"/>
        <w:rPr>
          <w:rFonts w:hint="eastAsia" w:ascii="仿宋" w:hAnsi="仿宋" w:eastAsia="仿宋"/>
          <w:sz w:val="28"/>
          <w:szCs w:val="21"/>
        </w:rPr>
      </w:pPr>
      <w:bookmarkStart w:id="38" w:name="_Toc208903665"/>
      <w:r>
        <w:rPr>
          <w:rFonts w:hint="eastAsia" w:ascii="仿宋" w:hAnsi="仿宋" w:eastAsia="仿宋"/>
          <w:sz w:val="28"/>
          <w:szCs w:val="21"/>
        </w:rPr>
        <w:t>1.社会效益（15分）</w:t>
      </w:r>
      <w:bookmarkEnd w:id="38"/>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社会效益（15分）主要从新增就业人数（3分）、大学生一次性生活补贴率（3分）、城镇失业人员再就业人数（3分）、开展技能培训人次（3分）、新增技能人才的数量（3分）五个三级指标进行评价。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（1）新增就业人数（3分）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“新增就业人数”指标用于评价2024年在德化地区新增就业人数情况。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德化县人力资源和社会保障局询问相关人员，2024年度德化县城镇新增就业3752人，城镇新增就业达标率为150.08%（2024年度任务数为2500人），为德化县就业环境做出重大贡献。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（2）大学生一次性生活补贴率（3分）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“大学生一次性生活补贴率”指标用于评价2024年度获得大学生一次性生活补贴的人数与首次来德化就业大学生人数的比率。</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人力资源和社会保障局所提供的资料显示，2024年度首次来德工作的大学生人数为1536人，2024年度成功申请大学生生活补贴69人，成功申请大学生一次性生活补贴37人，合计成功申请补贴人数106人，补贴率6.9%，补贴率偏低。根据评分标准，此项得1分，扣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（3）城镇失业人员再就业人数（3分）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“城镇失业人员再就业人数”指标用于评价2024年度德化县城镇失业人员再就业人数情况。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经过评价小组审查，根据德化县人力资源和社会保障局所提供的资料显示，2024年度德化县城镇失业人员再就业638人，就业困难人员再就业26人。根据评分标准，此项得3分。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（4）开展技能培训人次（3分）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“开展技能培训人次”指标用于评价2024年度德化县开展技能培训的人次情况。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德化县人力资源和社会保障局询问相关人员以及所提供的资料显示，2024年度德化县开展补贴性职业技能培训2994人次，完成年度任务的149.7%；农民工培训674人次，完成年度任务的134.8%。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（5）新增技能人才的数量（3分）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“新增技能人才的数量”指标用于评价2024年度德化县新增技能人才的数量情况。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经过评价小组审查，通过德化县人力资源和社会保障局询问相关人员及所提供资料显示2024年度全县新增技能人才2295人次，其中，高技能人才（取得高级工以上人员）1198人次。根据评分标准，此项得3分。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因此，社会效益合计得13分。</w:t>
      </w:r>
    </w:p>
    <w:p>
      <w:pPr>
        <w:spacing w:after="0" w:line="408" w:lineRule="auto"/>
        <w:ind w:firstLine="560" w:firstLineChars="200"/>
        <w:jc w:val="both"/>
        <w:outlineLvl w:val="2"/>
        <w:rPr>
          <w:rFonts w:hint="eastAsia" w:ascii="仿宋" w:hAnsi="仿宋" w:eastAsia="仿宋"/>
          <w:sz w:val="28"/>
          <w:szCs w:val="21"/>
        </w:rPr>
      </w:pPr>
      <w:bookmarkStart w:id="39" w:name="_Toc208903666"/>
      <w:r>
        <w:rPr>
          <w:rFonts w:hint="eastAsia" w:ascii="仿宋" w:hAnsi="仿宋" w:eastAsia="仿宋"/>
          <w:sz w:val="28"/>
          <w:szCs w:val="21"/>
        </w:rPr>
        <w:t>2.可持续性指标（6分）</w:t>
      </w:r>
      <w:bookmarkEnd w:id="39"/>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可持续性指标（6分）主要从技能培训后的就业情况（3分）、就业补助金政策的宣传力度（3分）二个三级指标进行评价。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（1）技能培训后的就业情况（3分）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“技能培训后的就业情况”指标用于评价参与技能培训或参与见证补贴的人员后续就业的情况，所培训的技能是否有促进就业，是否在相应所培训的岗位上就业。</w:t>
      </w:r>
    </w:p>
    <w:p>
      <w:pPr>
        <w:spacing w:after="0" w:line="408" w:lineRule="auto"/>
        <w:ind w:firstLine="560" w:firstLineChars="200"/>
        <w:jc w:val="both"/>
        <w:rPr>
          <w:rFonts w:hint="eastAsia" w:ascii="仿宋" w:hAnsi="仿宋" w:eastAsia="仿宋"/>
          <w:color w:val="0000FF"/>
          <w:sz w:val="28"/>
          <w:szCs w:val="21"/>
        </w:rPr>
      </w:pPr>
      <w:r>
        <w:rPr>
          <w:rFonts w:hint="eastAsia" w:ascii="仿宋" w:hAnsi="仿宋" w:eastAsia="仿宋"/>
          <w:sz w:val="28"/>
          <w:szCs w:val="21"/>
        </w:rPr>
        <w:t>经过评价小组审查，通过德化县人力资源和社会保障局询问相关人员及所提供资料显示，德化县2024年度就业技能培训人数2781人次，人员类别包含企业职工894人次、农村转移就业劳动者567人次、失业人员4人次、退役军人2人次、残疾人23人次、毕业年度高校毕业生874人次、脱贫人口31人次、其他培训386人次；培训后实现就业人数787人次。扣除企业职工人员后的就业率为41.71%（787/（2781-894）*100%）。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（2）就业补助金政策的宣传力度（3分）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“就业补助金政策的宣传力度”指标用于评价主管部门在就业补助金的宣传力度情况，宣传方式是否多样，宣传是否有效果，群众是否知晓。</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德化县人力资源和社会保障局询问相关人员，目前现有的宣传方式主要为微信公众号、现场招聘会、讲座、惠企政策进企业等，但通过补贴情况来看应补尽补率偏低，群众对政策的知晓率有待提高，宣传力度有待加强。根据评分标准，此项得2分，扣1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因此，可持续指标合计得6分。</w:t>
      </w:r>
    </w:p>
    <w:p>
      <w:pPr>
        <w:spacing w:after="0" w:line="408" w:lineRule="auto"/>
        <w:ind w:firstLine="560" w:firstLineChars="200"/>
        <w:jc w:val="both"/>
        <w:outlineLvl w:val="2"/>
        <w:rPr>
          <w:rFonts w:hint="eastAsia" w:ascii="仿宋" w:hAnsi="仿宋" w:eastAsia="仿宋"/>
          <w:sz w:val="28"/>
          <w:szCs w:val="21"/>
        </w:rPr>
      </w:pPr>
      <w:bookmarkStart w:id="40" w:name="_Toc208903667"/>
      <w:r>
        <w:rPr>
          <w:rFonts w:hint="eastAsia" w:ascii="仿宋" w:hAnsi="仿宋" w:eastAsia="仿宋"/>
          <w:sz w:val="28"/>
          <w:szCs w:val="21"/>
        </w:rPr>
        <w:t>3.满意度指标（3分）</w:t>
      </w:r>
      <w:bookmarkEnd w:id="40"/>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满意度指标（3分）主要从群众对就业补助金政策的满意度（3分）一个三级指标进行评价。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（1）群众对就业补助金政策的满意度（3分）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“群众对就业补助金政策的满意度”指标用于评价人民群众对就业补助金政策是否感到满意。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德化县人力资源和社会保障局询问相关人员，2024年度没有人民群众向德化县人力资源和社会保障局投诉关于就业补助金的相关事项。同时评价小组进行了问卷调查，一共有53人参与了问卷，其中有51人表示对就业补助金的政策感到非常满意，有2人表示感到满意。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因此，满意度指标合计得3分。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综上所述，项目效益共计24分，得21分。</w:t>
      </w:r>
    </w:p>
    <w:p>
      <w:pPr>
        <w:spacing w:after="0" w:line="408" w:lineRule="auto"/>
        <w:ind w:firstLine="562" w:firstLineChars="200"/>
        <w:jc w:val="both"/>
        <w:outlineLvl w:val="1"/>
        <w:rPr>
          <w:rFonts w:hint="eastAsia" w:ascii="仿宋" w:hAnsi="仿宋" w:eastAsia="仿宋"/>
          <w:b/>
          <w:sz w:val="28"/>
          <w:szCs w:val="21"/>
        </w:rPr>
      </w:pPr>
      <w:bookmarkStart w:id="41" w:name="_Toc208903668"/>
      <w:r>
        <w:rPr>
          <w:rFonts w:hint="eastAsia" w:ascii="仿宋" w:hAnsi="仿宋" w:eastAsia="仿宋"/>
          <w:b/>
          <w:sz w:val="28"/>
          <w:szCs w:val="21"/>
        </w:rPr>
        <w:t>（五）主要成效</w:t>
      </w:r>
      <w:bookmarkEnd w:id="41"/>
    </w:p>
    <w:p>
      <w:pPr>
        <w:spacing w:after="0" w:line="408" w:lineRule="auto"/>
        <w:ind w:firstLine="560" w:firstLineChars="200"/>
        <w:jc w:val="both"/>
        <w:rPr>
          <w:rFonts w:hint="eastAsia" w:ascii="仿宋" w:hAnsi="仿宋" w:eastAsia="仿宋"/>
          <w:sz w:val="28"/>
          <w:szCs w:val="21"/>
        </w:rPr>
      </w:pPr>
      <w:r>
        <w:rPr>
          <w:rFonts w:ascii="仿宋" w:hAnsi="仿宋" w:eastAsia="仿宋"/>
          <w:sz w:val="28"/>
          <w:szCs w:val="21"/>
        </w:rPr>
        <w:t>2024年德化县就业补助金专项资金</w:t>
      </w:r>
      <w:r>
        <w:rPr>
          <w:rFonts w:hint="eastAsia" w:ascii="仿宋" w:hAnsi="仿宋" w:eastAsia="仿宋"/>
          <w:sz w:val="28"/>
          <w:szCs w:val="21"/>
        </w:rPr>
        <w:t>取得的主要成效表现在：</w:t>
      </w:r>
      <w:r>
        <w:rPr>
          <w:rFonts w:hint="eastAsia" w:ascii="仿宋" w:hAnsi="仿宋" w:eastAsia="仿宋"/>
          <w:b/>
          <w:bCs/>
          <w:sz w:val="28"/>
          <w:szCs w:val="21"/>
        </w:rPr>
        <w:t>（一）提高城镇就业人数，提高就业率</w:t>
      </w:r>
      <w:r>
        <w:rPr>
          <w:rFonts w:hint="eastAsia" w:ascii="仿宋" w:hAnsi="仿宋" w:eastAsia="仿宋"/>
          <w:sz w:val="28"/>
          <w:szCs w:val="21"/>
        </w:rPr>
        <w:t>。2024年度德化县城镇新增就业3752人，城镇新增就业达标率为150.08%（2024年度任务数为2500人）；城镇失业人员再就业638人，就业困难人员再就业26人。</w:t>
      </w:r>
      <w:r>
        <w:rPr>
          <w:rFonts w:hint="eastAsia" w:ascii="仿宋" w:hAnsi="仿宋" w:eastAsia="仿宋"/>
          <w:b/>
          <w:bCs/>
          <w:sz w:val="28"/>
          <w:szCs w:val="21"/>
        </w:rPr>
        <w:t>（二）助力企业招工稳岗，强化就业帮扶。</w:t>
      </w:r>
      <w:r>
        <w:rPr>
          <w:rFonts w:hint="eastAsia" w:ascii="仿宋" w:hAnsi="仿宋" w:eastAsia="仿宋"/>
          <w:sz w:val="28"/>
          <w:szCs w:val="21"/>
        </w:rPr>
        <w:t>德化县人社局先后组织735家次企业携14892岗位前往贵州松桃，兴泉铁路沿线江西兴国、宁都、于都、石城和周边县永泰、大田和尤溪等劳动力富余地区开展“春风行动”专项招聘会，在全省率先引进贵州松桃劳务协作工作站在我县设点，点对点为德化县引进县外工人。2024年度吸引和留住外来员工3103人，其中贵州松桃籍员工442人。同时在2024年度</w:t>
      </w:r>
      <w:r>
        <w:rPr>
          <w:rFonts w:ascii="仿宋" w:hAnsi="仿宋" w:eastAsia="仿宋"/>
          <w:sz w:val="28"/>
          <w:szCs w:val="21"/>
        </w:rPr>
        <w:t>已发放一次性稳就业奖补94.8万元，稳定岗位2121个次。举办线上、线下招聘活动35场，累计为735家次企业发布岗位14892个，初步达成求职意向6095人</w:t>
      </w:r>
      <w:r>
        <w:rPr>
          <w:rFonts w:hint="eastAsia" w:ascii="仿宋" w:hAnsi="仿宋" w:eastAsia="仿宋"/>
          <w:sz w:val="28"/>
          <w:szCs w:val="21"/>
        </w:rPr>
        <w:t>。</w:t>
      </w:r>
      <w:r>
        <w:rPr>
          <w:rFonts w:ascii="仿宋" w:hAnsi="仿宋" w:eastAsia="仿宋"/>
          <w:sz w:val="28"/>
          <w:szCs w:val="21"/>
        </w:rPr>
        <w:t>在龙浔和浔中建设2家实体零工市场，并同步认定10家社区零工驿站，搭建求职者和企业就业供需对接平台，促进有效就业。</w:t>
      </w:r>
      <w:r>
        <w:rPr>
          <w:rFonts w:hint="eastAsia" w:ascii="仿宋" w:hAnsi="仿宋" w:eastAsia="仿宋"/>
          <w:sz w:val="28"/>
          <w:szCs w:val="21"/>
        </w:rPr>
        <w:t>2024年度</w:t>
      </w:r>
      <w:r>
        <w:rPr>
          <w:rFonts w:ascii="仿宋" w:hAnsi="仿宋" w:eastAsia="仿宋"/>
          <w:sz w:val="28"/>
          <w:szCs w:val="21"/>
        </w:rPr>
        <w:t>共2543家企业入驻零工平台，发布13567个岗位，求职登记注册6815人，推荐436人次求职成功</w:t>
      </w:r>
      <w:r>
        <w:rPr>
          <w:rFonts w:hint="eastAsia" w:ascii="仿宋" w:hAnsi="仿宋" w:eastAsia="仿宋"/>
          <w:sz w:val="28"/>
          <w:szCs w:val="21"/>
        </w:rPr>
        <w:t>。德化县人社局定期为贫困劳动力推送岗位信息，开发面向贫困户和就业困难人员公益性专岗21个，帮助214个贫困劳动力返岗就业，全县1594名有务工意愿贫困人口全部实现就业，未出现因失业返贫现象。为113位就业困难灵活就业人员发放社保补贴53.53万元，鼓励就业困难人员通过灵活就业实现创收。</w:t>
      </w:r>
      <w:r>
        <w:rPr>
          <w:rFonts w:hint="eastAsia" w:ascii="仿宋" w:hAnsi="仿宋" w:eastAsia="仿宋"/>
          <w:b/>
          <w:bCs/>
          <w:sz w:val="28"/>
          <w:szCs w:val="21"/>
        </w:rPr>
        <w:t>（三）为毕业生提供就业创业补助。</w:t>
      </w:r>
      <w:r>
        <w:rPr>
          <w:rFonts w:hint="eastAsia" w:ascii="仿宋" w:hAnsi="仿宋" w:eastAsia="仿宋"/>
          <w:sz w:val="28"/>
          <w:szCs w:val="21"/>
        </w:rPr>
        <w:t>德化县人社局在面对省内外高校毕业生在内的青年群体，进一步升级加码促进就业创业政策措施，出台德化青年人才集聚“新10条”，从提供生活补贴（1-20万元）、社保补助（每月最高600元、最长24个月）、购房补助（1-8万元）、优才服务（免费乘公交、游景区）等方面解决毕业生来泉留泉工作的“关键小事”。2024年度审核发放优才卡383张，发放涌泉行动一次性生活补贴、大学生生活补贴等98.9万元。遴选4个优秀毕业生创业项目申报2024年大中专毕业生创业市级资助项目，其中2个项目共获得8万元资助，推荐2个项目申报2024年大中专毕业生创业省级资助项目，获得8万元资助。</w:t>
      </w:r>
      <w:r>
        <w:rPr>
          <w:rFonts w:hint="eastAsia" w:ascii="仿宋" w:hAnsi="仿宋" w:eastAsia="仿宋"/>
          <w:b/>
          <w:bCs/>
          <w:sz w:val="28"/>
          <w:szCs w:val="21"/>
        </w:rPr>
        <w:t>（四）加强技能培训，提高人才储备</w:t>
      </w:r>
      <w:r>
        <w:rPr>
          <w:rFonts w:hint="eastAsia" w:ascii="仿宋" w:hAnsi="仿宋" w:eastAsia="仿宋"/>
          <w:sz w:val="28"/>
          <w:szCs w:val="21"/>
        </w:rPr>
        <w:t>。成功申报创建市级、省级高技能人才培训基地，获得补助资金500万元。获评省级技能大师工作室2家，发挥作用特别突出的省级技能大师工作室1家，市级技能大师工作室2家。全县新增技能人才2295人次，其中，高技能人才（取得高级工以上人员）1198人次。开展补贴性职业技能培训2994 人次，完成年度任务的149.7%；农民工培训674人次，完成年度任务的134.8%；开展马兰花创业培训3期，培训人数89人。</w:t>
      </w:r>
    </w:p>
    <w:p>
      <w:pPr>
        <w:spacing w:after="0" w:line="408" w:lineRule="auto"/>
        <w:ind w:firstLine="562" w:firstLineChars="200"/>
        <w:jc w:val="both"/>
        <w:outlineLvl w:val="1"/>
        <w:rPr>
          <w:rFonts w:hint="eastAsia" w:ascii="仿宋" w:hAnsi="仿宋" w:eastAsia="仿宋"/>
          <w:b/>
          <w:sz w:val="28"/>
          <w:szCs w:val="21"/>
        </w:rPr>
      </w:pPr>
      <w:bookmarkStart w:id="42" w:name="_Toc208903669"/>
      <w:r>
        <w:rPr>
          <w:rFonts w:hint="eastAsia" w:ascii="仿宋" w:hAnsi="仿宋" w:eastAsia="仿宋"/>
          <w:b/>
          <w:sz w:val="28"/>
          <w:szCs w:val="21"/>
        </w:rPr>
        <w:t>（六）绩效评价结论</w:t>
      </w:r>
      <w:bookmarkEnd w:id="4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2024年德化县就业补助金专项资金绩效评价报告得分89分，评价等级为“良”。主要扣分项目为：绩效目标合理性扣1分，绩效自评合规性扣1分，管理制度健全性扣1分，跟踪回访工作充足性扣1分，设立电子台账扣1分，政务公开的合规性扣1分，现场核查率扣2分，大学生一次性生活补贴率扣2分，就业补助金政策的宣传力度扣1分，合计共扣11分，最终得分89分。</w:t>
      </w:r>
    </w:p>
    <w:p>
      <w:pPr>
        <w:spacing w:after="0" w:line="408" w:lineRule="auto"/>
        <w:ind w:firstLine="562" w:firstLineChars="200"/>
        <w:outlineLvl w:val="0"/>
        <w:rPr>
          <w:rFonts w:hint="eastAsia" w:ascii="仿宋" w:hAnsi="仿宋" w:eastAsia="仿宋"/>
          <w:b/>
          <w:sz w:val="28"/>
          <w:szCs w:val="21"/>
        </w:rPr>
      </w:pPr>
      <w:bookmarkStart w:id="43" w:name="_Toc208903670"/>
      <w:r>
        <w:rPr>
          <w:rFonts w:hint="eastAsia" w:ascii="仿宋" w:hAnsi="仿宋" w:eastAsia="仿宋"/>
          <w:b/>
          <w:sz w:val="28"/>
          <w:szCs w:val="21"/>
        </w:rPr>
        <w:t>五、存在的问题</w:t>
      </w:r>
      <w:bookmarkEnd w:id="43"/>
    </w:p>
    <w:p>
      <w:pPr>
        <w:spacing w:after="0" w:line="408" w:lineRule="auto"/>
        <w:ind w:firstLine="562" w:firstLineChars="200"/>
        <w:jc w:val="both"/>
        <w:outlineLvl w:val="1"/>
        <w:rPr>
          <w:rFonts w:hint="eastAsia" w:ascii="仿宋" w:hAnsi="仿宋" w:eastAsia="仿宋"/>
          <w:b/>
          <w:sz w:val="28"/>
          <w:szCs w:val="21"/>
        </w:rPr>
      </w:pPr>
      <w:bookmarkStart w:id="44" w:name="_Toc208903671"/>
      <w:r>
        <w:rPr>
          <w:rFonts w:hint="eastAsia" w:ascii="仿宋" w:hAnsi="仿宋" w:eastAsia="仿宋"/>
          <w:b/>
          <w:sz w:val="28"/>
          <w:szCs w:val="21"/>
        </w:rPr>
        <w:t>（一）绩效目标设置不合理，绩效自评有待加强</w:t>
      </w:r>
      <w:bookmarkEnd w:id="44"/>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评价小组的调查核实，德化县人力资源和社会保障局在绩效目标表中有部分绩效指标设置不合理。例如在“本科及以上应届高校毕业生一次性生活补贴和社保补助资金”的绩效自评表中，“通过一次性生活补贴政策吸引毕业生的企业数”指标的含义为企业数量，而本科及以上应届高校毕业生一次性生活补贴和社保补助资金的补贴对象为高校毕业生个人而非公司，该指标与该项目的补贴对象无关，该指标设置存在不合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人力资源和社会保障局在绩效自评中有部分绩效指标的目标值填写不规范、不合规，例如在“本科及以上应届高校毕业生一次性生活补贴和社保补助资金”的绩效自评表中发放补贴人数填写数量为20，但根据政务公开中第一期至第四期的“本科及以上应届高校毕业生一次性生活补贴和社保补助资金”人员名单统计，通过补贴的人数为25人。绩效自评填写数量与实际通过补贴数量人员不符，存在自评不合规之处。</w:t>
      </w:r>
    </w:p>
    <w:p>
      <w:pPr>
        <w:spacing w:after="0" w:line="408" w:lineRule="auto"/>
        <w:ind w:firstLine="562" w:firstLineChars="200"/>
        <w:jc w:val="both"/>
        <w:outlineLvl w:val="1"/>
        <w:rPr>
          <w:rFonts w:hint="eastAsia" w:ascii="仿宋" w:hAnsi="仿宋" w:eastAsia="仿宋"/>
          <w:b/>
          <w:sz w:val="28"/>
          <w:szCs w:val="21"/>
        </w:rPr>
      </w:pPr>
      <w:bookmarkStart w:id="45" w:name="_Toc208903672"/>
      <w:r>
        <w:rPr>
          <w:rFonts w:hint="eastAsia" w:ascii="仿宋" w:hAnsi="仿宋" w:eastAsia="仿宋"/>
          <w:b/>
          <w:sz w:val="28"/>
          <w:szCs w:val="21"/>
        </w:rPr>
        <w:t>（二）管理制度不健全，电子台账的建立待完善</w:t>
      </w:r>
      <w:bookmarkEnd w:id="4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人力资源和社会保障局就业补助金项目中主要依赖上级资金管理办法的文件来进行对就业补助金进行管理，虽然本县一级有专门设立德化县一级的资金管理办法，但是并未正式发文，不属于正式的管理文件，在管理制度上存在一定的不健全。同时德化县人社局大部分资料的归集与整理依赖纸质资料为主，仅有少部分资料进行设立电子台账进行电子归档，电子台账的建设需要进一步的完善。</w:t>
      </w:r>
    </w:p>
    <w:p>
      <w:pPr>
        <w:spacing w:after="0" w:line="408" w:lineRule="auto"/>
        <w:ind w:firstLine="562" w:firstLineChars="200"/>
        <w:jc w:val="both"/>
        <w:outlineLvl w:val="1"/>
        <w:rPr>
          <w:rFonts w:hint="eastAsia" w:ascii="仿宋" w:hAnsi="仿宋" w:eastAsia="仿宋"/>
          <w:b/>
          <w:sz w:val="28"/>
          <w:szCs w:val="21"/>
        </w:rPr>
      </w:pPr>
      <w:bookmarkStart w:id="46" w:name="_Toc208903673"/>
      <w:r>
        <w:rPr>
          <w:rFonts w:hint="eastAsia" w:ascii="仿宋" w:hAnsi="仿宋" w:eastAsia="仿宋"/>
          <w:b/>
          <w:sz w:val="28"/>
          <w:szCs w:val="21"/>
        </w:rPr>
        <w:t>（三）补贴后的跟踪回访工作不足</w:t>
      </w:r>
      <w:bookmarkEnd w:id="46"/>
    </w:p>
    <w:p>
      <w:pPr>
        <w:spacing w:after="0" w:line="408" w:lineRule="auto"/>
        <w:ind w:firstLine="560" w:firstLineChars="200"/>
        <w:jc w:val="both"/>
        <w:rPr>
          <w:rFonts w:hint="eastAsia" w:ascii="仿宋" w:hAnsi="仿宋" w:eastAsia="仿宋"/>
          <w:strike/>
          <w:color w:val="0000FF"/>
          <w:sz w:val="28"/>
          <w:szCs w:val="21"/>
        </w:rPr>
      </w:pPr>
      <w:r>
        <w:rPr>
          <w:rFonts w:hint="eastAsia" w:ascii="仿宋" w:hAnsi="仿宋" w:eastAsia="仿宋"/>
          <w:sz w:val="28"/>
          <w:szCs w:val="21"/>
        </w:rPr>
        <w:t>德化县人力资源和社会保障局在就业补助金项目中对于申请大学生生活补贴的学生，人社局对学生后续在岗在职情况的跟踪回访不足，没有对大学生的就业情况进行持续跟踪来调查补贴所产生的效益情况。</w:t>
      </w:r>
    </w:p>
    <w:p>
      <w:pPr>
        <w:spacing w:after="0" w:line="408" w:lineRule="auto"/>
        <w:ind w:firstLine="562" w:firstLineChars="200"/>
        <w:jc w:val="both"/>
        <w:outlineLvl w:val="1"/>
        <w:rPr>
          <w:rFonts w:hint="eastAsia" w:ascii="仿宋" w:hAnsi="仿宋" w:eastAsia="仿宋"/>
          <w:b/>
          <w:sz w:val="28"/>
          <w:szCs w:val="21"/>
        </w:rPr>
      </w:pPr>
      <w:bookmarkStart w:id="47" w:name="_Toc208903674"/>
      <w:r>
        <w:rPr>
          <w:rFonts w:hint="eastAsia" w:ascii="仿宋" w:hAnsi="仿宋" w:eastAsia="仿宋"/>
          <w:b/>
          <w:sz w:val="28"/>
          <w:szCs w:val="21"/>
        </w:rPr>
        <w:t>（四）现场核查率有待加强</w:t>
      </w:r>
      <w:bookmarkEnd w:id="4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人力资源和社会保障局在大学生生活补贴项目中现场核实大学生在岗就业情况比例的人数大约占10%；在德化县高校毕业生来泉就业安居补助项目中，主要通过系统进行社保核查以及核查企业所提供的资料，现场核查较少；在德化县支持优化用工环境构建和谐劳动关系一次性稳定就业奖补项目中，主要核查企业工资银行流水，现场核查较少。德化县人社局在补贴项目中现场核查比例有待加强。</w:t>
      </w:r>
    </w:p>
    <w:p>
      <w:pPr>
        <w:spacing w:after="0" w:line="408" w:lineRule="auto"/>
        <w:ind w:firstLine="562" w:firstLineChars="200"/>
        <w:outlineLvl w:val="0"/>
        <w:rPr>
          <w:rFonts w:hint="eastAsia" w:ascii="仿宋" w:hAnsi="仿宋" w:eastAsia="仿宋"/>
          <w:b/>
          <w:sz w:val="28"/>
          <w:szCs w:val="21"/>
        </w:rPr>
      </w:pPr>
      <w:bookmarkStart w:id="48" w:name="_Toc208903675"/>
      <w:r>
        <w:rPr>
          <w:rFonts w:hint="eastAsia" w:ascii="仿宋" w:hAnsi="仿宋" w:eastAsia="仿宋"/>
          <w:b/>
          <w:sz w:val="28"/>
          <w:szCs w:val="21"/>
        </w:rPr>
        <w:t>六、有关建议</w:t>
      </w:r>
      <w:bookmarkEnd w:id="48"/>
    </w:p>
    <w:p>
      <w:pPr>
        <w:spacing w:after="0" w:line="408" w:lineRule="auto"/>
        <w:ind w:firstLine="562" w:firstLineChars="200"/>
        <w:jc w:val="both"/>
        <w:outlineLvl w:val="1"/>
        <w:rPr>
          <w:rFonts w:hint="eastAsia" w:ascii="仿宋" w:hAnsi="仿宋" w:eastAsia="仿宋"/>
          <w:b/>
          <w:sz w:val="28"/>
          <w:szCs w:val="21"/>
        </w:rPr>
      </w:pPr>
      <w:bookmarkStart w:id="49" w:name="_Toc208903676"/>
      <w:r>
        <w:rPr>
          <w:rFonts w:hint="eastAsia" w:ascii="仿宋" w:hAnsi="仿宋" w:eastAsia="仿宋"/>
          <w:b/>
          <w:sz w:val="28"/>
          <w:szCs w:val="21"/>
        </w:rPr>
        <w:t>（一）加强绩效指标设置能力，提高绩效自评水平</w:t>
      </w:r>
      <w:bookmarkEnd w:id="49"/>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人力资源和社会保障局应当严格按照《中央部门项目支出核心绩效目标和指标设置及取值指引》《项目支出绩效评价管理办法》等文件的相关要求，科学设置绩效指标。首先需明确绩效目标的用途与内涵，确定待评价的具体目标内容，从而确保所设指标合理、准确。绩效目标应借助具体的绩效指标实现细化和量化表达。在进行绩效自评时，须结合本单位实际情况合理设定目标值，并逐层分解至二级和三级指标。因此，有必要持续加强绩效指标体系的构建，进一步提升绩效自评和整体绩效管理的实效性</w:t>
      </w:r>
      <w:r>
        <w:rPr>
          <w:rFonts w:hint="eastAsia" w:ascii="仿宋" w:hAnsi="仿宋" w:eastAsia="仿宋" w:cs="宋体"/>
          <w:sz w:val="28"/>
          <w:szCs w:val="21"/>
        </w:rPr>
        <w:t>。</w:t>
      </w:r>
    </w:p>
    <w:p>
      <w:pPr>
        <w:spacing w:after="0" w:line="408" w:lineRule="auto"/>
        <w:ind w:firstLine="562" w:firstLineChars="200"/>
        <w:jc w:val="both"/>
        <w:outlineLvl w:val="1"/>
        <w:rPr>
          <w:rFonts w:hint="eastAsia" w:ascii="仿宋" w:hAnsi="仿宋" w:eastAsia="仿宋"/>
          <w:b/>
          <w:sz w:val="28"/>
          <w:szCs w:val="21"/>
        </w:rPr>
      </w:pPr>
      <w:bookmarkStart w:id="50" w:name="_Toc208903677"/>
      <w:r>
        <w:rPr>
          <w:rFonts w:hint="eastAsia" w:ascii="仿宋" w:hAnsi="仿宋" w:eastAsia="仿宋"/>
          <w:b/>
          <w:sz w:val="28"/>
          <w:szCs w:val="21"/>
        </w:rPr>
        <w:t>（二）完善相关管理制度，加强电子台账的建立</w:t>
      </w:r>
      <w:bookmarkEnd w:id="50"/>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德化县人力资源和社会保障局应当根据实施实际情况，制定相关财务及业务管理制度并及时联合有关部门进行必要的发文，将文件落实到位，形成有效的正式文件，</w:t>
      </w:r>
    </w:p>
    <w:p>
      <w:pPr>
        <w:spacing w:after="0" w:line="408" w:lineRule="auto"/>
        <w:jc w:val="both"/>
        <w:rPr>
          <w:rFonts w:hint="eastAsia" w:ascii="仿宋" w:hAnsi="仿宋" w:eastAsia="仿宋"/>
          <w:sz w:val="28"/>
          <w:szCs w:val="21"/>
        </w:rPr>
      </w:pPr>
      <w:r>
        <w:rPr>
          <w:rFonts w:hint="eastAsia" w:ascii="仿宋" w:hAnsi="仿宋" w:eastAsia="仿宋"/>
          <w:sz w:val="28"/>
          <w:szCs w:val="21"/>
        </w:rPr>
        <w:t>并定期根据实际情况逐步健全完善相关管理制度，确保就业补助金工作稳步进行。同时还要加强工作人员的管理意识、数据意识、数字意识，建立相应的电子台账，有意识地完善电子台账，做到数据数字化，数据可追踪化；以及进一步完善财务业务等各项管理制度。</w:t>
      </w:r>
    </w:p>
    <w:p>
      <w:pPr>
        <w:spacing w:after="0" w:line="408" w:lineRule="auto"/>
        <w:ind w:firstLine="562" w:firstLineChars="200"/>
        <w:jc w:val="both"/>
        <w:outlineLvl w:val="1"/>
        <w:rPr>
          <w:rFonts w:hint="eastAsia" w:ascii="仿宋" w:hAnsi="仿宋" w:eastAsia="仿宋"/>
          <w:b/>
          <w:sz w:val="28"/>
          <w:szCs w:val="21"/>
        </w:rPr>
      </w:pPr>
      <w:bookmarkStart w:id="51" w:name="_Toc208903678"/>
      <w:r>
        <w:rPr>
          <w:rFonts w:hint="eastAsia" w:ascii="仿宋" w:hAnsi="仿宋" w:eastAsia="仿宋"/>
          <w:b/>
          <w:sz w:val="28"/>
          <w:szCs w:val="21"/>
        </w:rPr>
        <w:t>（三）加强补贴后的跟踪回访，提高补贴社会效益</w:t>
      </w:r>
      <w:bookmarkEnd w:id="51"/>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德化县人力资源和社会保障局应当</w:t>
      </w:r>
      <w:r>
        <w:rPr>
          <w:rFonts w:ascii="仿宋" w:hAnsi="仿宋" w:eastAsia="仿宋"/>
          <w:sz w:val="28"/>
          <w:szCs w:val="21"/>
        </w:rPr>
        <w:t>建立健全</w:t>
      </w:r>
      <w:r>
        <w:rPr>
          <w:rFonts w:hint="eastAsia" w:ascii="仿宋" w:hAnsi="仿宋" w:eastAsia="仿宋"/>
          <w:sz w:val="28"/>
          <w:szCs w:val="21"/>
        </w:rPr>
        <w:t>有关</w:t>
      </w:r>
      <w:r>
        <w:rPr>
          <w:rFonts w:ascii="仿宋" w:hAnsi="仿宋" w:eastAsia="仿宋"/>
          <w:sz w:val="28"/>
          <w:szCs w:val="21"/>
        </w:rPr>
        <w:t>“就业补助金项目”</w:t>
      </w:r>
      <w:r>
        <w:rPr>
          <w:rFonts w:hint="eastAsia" w:ascii="仿宋" w:hAnsi="仿宋" w:eastAsia="仿宋"/>
          <w:sz w:val="28"/>
          <w:szCs w:val="21"/>
        </w:rPr>
        <w:t>申请</w:t>
      </w:r>
      <w:r>
        <w:rPr>
          <w:rFonts w:ascii="仿宋" w:hAnsi="仿宋" w:eastAsia="仿宋"/>
          <w:sz w:val="28"/>
          <w:szCs w:val="21"/>
        </w:rPr>
        <w:t>补贴后的跟踪回访机制，通过电话询问、实地走访、数据比对等多种方式，定期对补贴对象的就业稳定性、资金使用效果及政策满意度进行核查与评估</w:t>
      </w:r>
      <w:r>
        <w:rPr>
          <w:rFonts w:hint="eastAsia" w:ascii="仿宋" w:hAnsi="仿宋" w:eastAsia="仿宋"/>
          <w:sz w:val="28"/>
          <w:szCs w:val="21"/>
        </w:rPr>
        <w:t>。调查就业补助金补贴后所产生的社会效益情况。通过跟踪回访工作可以</w:t>
      </w:r>
      <w:r>
        <w:rPr>
          <w:rFonts w:ascii="仿宋" w:hAnsi="仿宋" w:eastAsia="仿宋"/>
          <w:sz w:val="28"/>
          <w:szCs w:val="21"/>
        </w:rPr>
        <w:t>及时发现并解决</w:t>
      </w:r>
      <w:r>
        <w:rPr>
          <w:rFonts w:hint="eastAsia" w:ascii="仿宋" w:hAnsi="仿宋" w:eastAsia="仿宋"/>
          <w:sz w:val="28"/>
          <w:szCs w:val="21"/>
        </w:rPr>
        <w:t>可能</w:t>
      </w:r>
      <w:r>
        <w:rPr>
          <w:rFonts w:ascii="仿宋" w:hAnsi="仿宋" w:eastAsia="仿宋"/>
          <w:sz w:val="28"/>
          <w:szCs w:val="21"/>
        </w:rPr>
        <w:t>存</w:t>
      </w:r>
      <w:r>
        <w:rPr>
          <w:rFonts w:hint="eastAsia" w:ascii="仿宋" w:hAnsi="仿宋" w:eastAsia="仿宋"/>
          <w:sz w:val="28"/>
          <w:szCs w:val="21"/>
        </w:rPr>
        <w:t>在的</w:t>
      </w:r>
      <w:r>
        <w:rPr>
          <w:rFonts w:ascii="仿宋" w:hAnsi="仿宋" w:eastAsia="仿宋"/>
          <w:sz w:val="28"/>
          <w:szCs w:val="21"/>
        </w:rPr>
        <w:t>问题，动态完善补助政策，确保公共资金精准高效使用，切实增强就业援助的实效性和长效性</w:t>
      </w:r>
      <w:r>
        <w:rPr>
          <w:rFonts w:hint="eastAsia" w:ascii="仿宋" w:hAnsi="仿宋" w:eastAsia="仿宋"/>
          <w:sz w:val="28"/>
          <w:szCs w:val="21"/>
        </w:rPr>
        <w:t>。</w:t>
      </w:r>
    </w:p>
    <w:p>
      <w:pPr>
        <w:spacing w:after="0" w:line="408" w:lineRule="auto"/>
        <w:ind w:firstLine="562" w:firstLineChars="200"/>
        <w:jc w:val="both"/>
        <w:outlineLvl w:val="1"/>
        <w:rPr>
          <w:rFonts w:hint="eastAsia" w:ascii="仿宋" w:hAnsi="仿宋" w:eastAsia="仿宋"/>
          <w:b/>
          <w:sz w:val="28"/>
          <w:szCs w:val="21"/>
        </w:rPr>
      </w:pPr>
      <w:bookmarkStart w:id="52" w:name="_Toc208903679"/>
      <w:r>
        <w:rPr>
          <w:rFonts w:hint="eastAsia" w:ascii="仿宋" w:hAnsi="仿宋" w:eastAsia="仿宋"/>
          <w:b/>
          <w:sz w:val="28"/>
          <w:szCs w:val="21"/>
        </w:rPr>
        <w:t>（四）加强现场核查力度</w:t>
      </w:r>
      <w:bookmarkEnd w:id="5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德化县人力资源和社会保障局应当进一步加强</w:t>
      </w:r>
      <w:r>
        <w:rPr>
          <w:rFonts w:ascii="仿宋" w:hAnsi="仿宋" w:eastAsia="仿宋"/>
          <w:sz w:val="28"/>
          <w:szCs w:val="21"/>
        </w:rPr>
        <w:t>现场审查工作力度</w:t>
      </w:r>
      <w:r>
        <w:rPr>
          <w:rFonts w:hint="eastAsia" w:ascii="仿宋" w:hAnsi="仿宋" w:eastAsia="仿宋"/>
          <w:sz w:val="28"/>
          <w:szCs w:val="21"/>
        </w:rPr>
        <w:t>，</w:t>
      </w:r>
      <w:r>
        <w:rPr>
          <w:rFonts w:ascii="仿宋" w:hAnsi="仿宋" w:eastAsia="仿宋"/>
          <w:sz w:val="28"/>
          <w:szCs w:val="21"/>
        </w:rPr>
        <w:t>制定并严格执行标准化审查规程，明确审查内容、方式和标准；采取</w:t>
      </w:r>
      <w:r>
        <w:rPr>
          <w:rFonts w:hint="eastAsia" w:ascii="仿宋" w:hAnsi="仿宋" w:eastAsia="仿宋"/>
          <w:sz w:val="28"/>
          <w:szCs w:val="21"/>
        </w:rPr>
        <w:t>“双随机、一公开”</w:t>
      </w:r>
      <w:r>
        <w:rPr>
          <w:rFonts w:ascii="仿宋" w:hAnsi="仿宋" w:eastAsia="仿宋"/>
          <w:sz w:val="28"/>
          <w:szCs w:val="21"/>
        </w:rPr>
        <w:t>、交叉检查、实地勘验、申请人面谈等方式，对申报材料的真实性、就业状况的准确性进行核验</w:t>
      </w:r>
      <w:r>
        <w:rPr>
          <w:rFonts w:hint="eastAsia" w:ascii="仿宋" w:hAnsi="仿宋" w:eastAsia="仿宋"/>
          <w:sz w:val="28"/>
          <w:szCs w:val="21"/>
        </w:rPr>
        <w:t>。对于申报材料的真实性要做到纸质材料和现场核查“两手抓”，不能仅停留在对纸质资料的审查上，应当加强现场核查用于以申报材料相对照检查</w:t>
      </w:r>
      <w:r>
        <w:rPr>
          <w:rFonts w:ascii="仿宋" w:hAnsi="仿宋" w:eastAsia="仿宋"/>
          <w:sz w:val="28"/>
          <w:szCs w:val="21"/>
        </w:rPr>
        <w:t>，确保补贴发放精准、公平、安全</w:t>
      </w:r>
      <w:r>
        <w:rPr>
          <w:rFonts w:hint="eastAsia" w:ascii="仿宋" w:hAnsi="仿宋" w:eastAsia="仿宋"/>
          <w:sz w:val="28"/>
          <w:szCs w:val="21"/>
        </w:rPr>
        <w:t>、公正。</w:t>
      </w:r>
    </w:p>
    <w:p>
      <w:pPr>
        <w:spacing w:after="0" w:line="408" w:lineRule="auto"/>
        <w:ind w:firstLine="562" w:firstLineChars="200"/>
        <w:outlineLvl w:val="0"/>
        <w:rPr>
          <w:rFonts w:hint="eastAsia" w:ascii="仿宋" w:hAnsi="仿宋" w:eastAsia="仿宋"/>
          <w:b/>
          <w:sz w:val="28"/>
          <w:szCs w:val="21"/>
        </w:rPr>
      </w:pPr>
      <w:bookmarkStart w:id="53" w:name="_Toc208903680"/>
      <w:r>
        <w:rPr>
          <w:rFonts w:hint="eastAsia" w:ascii="仿宋" w:hAnsi="仿宋" w:eastAsia="仿宋"/>
          <w:b/>
          <w:sz w:val="28"/>
          <w:szCs w:val="21"/>
        </w:rPr>
        <w:t>七、其他需要说明的问题</w:t>
      </w:r>
      <w:bookmarkEnd w:id="53"/>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本报告中“2024年德化县就业补助金专项资金”相关数据，均以项目单位提供的项目支出明细账、财务报表等相关资料为来源依据。</w:t>
      </w: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 xml:space="preserve">                                      泉州市启程财务咨询有限公司</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 xml:space="preserve">                                           2025年8月31日</w:t>
      </w: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outlineLvl w:val="0"/>
        <w:rPr>
          <w:rFonts w:hint="eastAsia" w:ascii="仿宋" w:hAnsi="仿宋" w:eastAsia="仿宋"/>
          <w:b/>
          <w:sz w:val="21"/>
          <w:szCs w:val="16"/>
        </w:rPr>
      </w:pPr>
      <w:bookmarkStart w:id="54" w:name="_Toc208903681"/>
      <w:r>
        <w:rPr>
          <w:rFonts w:hint="eastAsia" w:ascii="仿宋" w:hAnsi="仿宋" w:eastAsia="仿宋"/>
          <w:b/>
          <w:sz w:val="21"/>
          <w:szCs w:val="16"/>
        </w:rPr>
        <w:t>附件一：调查问卷</w:t>
      </w:r>
      <w:bookmarkEnd w:id="54"/>
    </w:p>
    <w:tbl>
      <w:tblPr>
        <w:tblStyle w:val="90"/>
        <w:tblW w:w="10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0"/>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trPr>
        <w:tc>
          <w:tcPr>
            <w:tcW w:w="8330"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cs="仿宋"/>
                <w:b/>
                <w:snapToGrid w:val="0"/>
                <w:kern w:val="0"/>
                <w:sz w:val="18"/>
              </w:rPr>
            </w:pPr>
            <w:r>
              <w:rPr>
                <w:rFonts w:hint="eastAsia" w:ascii="仿宋" w:hAnsi="仿宋" w:eastAsia="仿宋" w:cs="仿宋"/>
                <w:b/>
                <w:snapToGrid w:val="0"/>
                <w:kern w:val="0"/>
                <w:sz w:val="18"/>
              </w:rPr>
              <w:t>调查项目</w:t>
            </w:r>
          </w:p>
        </w:tc>
        <w:tc>
          <w:tcPr>
            <w:tcW w:w="2182"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cs="仿宋"/>
                <w:b/>
                <w:snapToGrid w:val="0"/>
                <w:kern w:val="0"/>
                <w:sz w:val="18"/>
              </w:rPr>
            </w:pPr>
            <w:r>
              <w:rPr>
                <w:rFonts w:hint="eastAsia" w:ascii="仿宋" w:hAnsi="仿宋" w:eastAsia="仿宋" w:cs="仿宋"/>
                <w:b/>
                <w:snapToGrid w:val="0"/>
                <w:kern w:val="0"/>
                <w:sz w:val="18"/>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30" w:type="dxa"/>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（1）你是否了解人社局的“就业补助金”项目？</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A：熟悉，知道具体政策</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B：了解，知道某些政策</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C：听过，不知道具体政策</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D：不了解，完全没听过</w:t>
            </w:r>
          </w:p>
        </w:tc>
        <w:tc>
          <w:tcPr>
            <w:tcW w:w="2182" w:type="dxa"/>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30" w:type="dxa"/>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（2）你认为人社局就业补助金政策是否能带动就业市场？</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A：能带动</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B：可能可以，效果不明显</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C：不能带动</w:t>
            </w:r>
          </w:p>
        </w:tc>
        <w:tc>
          <w:tcPr>
            <w:tcW w:w="2182" w:type="dxa"/>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30" w:type="dxa"/>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（3）你认为技能培训补贴能否提供受培训人员的就业率？</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A：能较大提高</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B：能小幅度提高</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C：不能提高</w:t>
            </w:r>
          </w:p>
        </w:tc>
        <w:tc>
          <w:tcPr>
            <w:tcW w:w="2182" w:type="dxa"/>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30" w:type="dxa"/>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（4）你觉得就业补助金宣传力度如何？</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A：宣传力度很大，大部分人了解具体政策</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B：宣传力度适中，大部分人听过政策</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C：宣传力度较小，小部分人听过政策</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D：宣传力度不足，大部分人没听过政策</w:t>
            </w:r>
          </w:p>
        </w:tc>
        <w:tc>
          <w:tcPr>
            <w:tcW w:w="2182" w:type="dxa"/>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30" w:type="dxa"/>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（5）你对德化县人力资源和社会保障局的就业补助金项目的政策是否感到满意？</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A：非常满意 B：满意 C：一般 D：不满意</w:t>
            </w:r>
          </w:p>
        </w:tc>
        <w:tc>
          <w:tcPr>
            <w:tcW w:w="2182" w:type="dxa"/>
            <w:vAlign w:val="center"/>
          </w:tcPr>
          <w:p>
            <w:pPr>
              <w:adjustRightInd w:val="0"/>
              <w:snapToGrid w:val="0"/>
              <w:spacing w:after="0" w:line="408" w:lineRule="auto"/>
              <w:rPr>
                <w:rFonts w:hint="eastAsia" w:ascii="仿宋" w:hAnsi="仿宋" w:eastAsia="仿宋" w:cs="仿宋"/>
                <w:snapToGrid w:val="0"/>
                <w:kern w:val="0"/>
                <w:sz w:val="18"/>
              </w:rPr>
            </w:pPr>
          </w:p>
        </w:tc>
      </w:tr>
    </w:tbl>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outlineLvl w:val="0"/>
        <w:rPr>
          <w:rFonts w:hint="eastAsia" w:ascii="仿宋" w:hAnsi="仿宋" w:eastAsia="仿宋"/>
          <w:b/>
          <w:sz w:val="21"/>
          <w:szCs w:val="16"/>
        </w:rPr>
      </w:pPr>
      <w:bookmarkStart w:id="55" w:name="_Toc208903682"/>
      <w:r>
        <w:rPr>
          <w:rFonts w:hint="eastAsia" w:ascii="仿宋" w:hAnsi="仿宋" w:eastAsia="仿宋"/>
          <w:b/>
          <w:sz w:val="21"/>
          <w:szCs w:val="16"/>
        </w:rPr>
        <w:t>附件二：访谈相关照片</w:t>
      </w:r>
      <w:bookmarkEnd w:id="55"/>
    </w:p>
    <w:p>
      <w:pPr>
        <w:spacing w:after="0" w:line="408" w:lineRule="auto"/>
        <w:ind w:firstLine="440" w:firstLineChars="200"/>
        <w:jc w:val="both"/>
        <w:rPr>
          <w:rFonts w:hint="eastAsia" w:ascii="仿宋" w:hAnsi="仿宋" w:eastAsia="仿宋"/>
          <w:sz w:val="28"/>
          <w:szCs w:val="21"/>
        </w:rPr>
      </w:pPr>
      <w:r>
        <w:drawing>
          <wp:inline distT="0" distB="0" distL="0" distR="0">
            <wp:extent cx="2519680" cy="1803400"/>
            <wp:effectExtent l="0" t="0" r="0" b="6350"/>
            <wp:docPr id="7125331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33179"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20000" cy="1803600"/>
                    </a:xfrm>
                    <a:prstGeom prst="rect">
                      <a:avLst/>
                    </a:prstGeom>
                    <a:noFill/>
                    <a:ln>
                      <a:noFill/>
                    </a:ln>
                  </pic:spPr>
                </pic:pic>
              </a:graphicData>
            </a:graphic>
          </wp:inline>
        </w:drawing>
      </w:r>
      <w:r>
        <w:rPr>
          <w:rFonts w:hint="eastAsia" w:ascii="仿宋" w:hAnsi="仿宋" w:eastAsia="仿宋"/>
          <w:sz w:val="28"/>
          <w:szCs w:val="21"/>
        </w:rPr>
        <w:t xml:space="preserve">    </w:t>
      </w:r>
      <w:r>
        <w:drawing>
          <wp:inline distT="0" distB="0" distL="0" distR="0">
            <wp:extent cx="2495550" cy="1799590"/>
            <wp:effectExtent l="0" t="0" r="0" b="0"/>
            <wp:docPr id="257025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2564"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96443" cy="1800234"/>
                    </a:xfrm>
                    <a:prstGeom prst="rect">
                      <a:avLst/>
                    </a:prstGeom>
                    <a:noFill/>
                    <a:ln>
                      <a:noFill/>
                    </a:ln>
                  </pic:spPr>
                </pic:pic>
              </a:graphicData>
            </a:graphic>
          </wp:inline>
        </w:drawing>
      </w:r>
    </w:p>
    <w:p>
      <w:pPr>
        <w:spacing w:after="0" w:line="408" w:lineRule="auto"/>
        <w:ind w:firstLine="560" w:firstLineChars="200"/>
        <w:jc w:val="both"/>
        <w:rPr>
          <w:rFonts w:hint="eastAsia" w:ascii="仿宋" w:hAnsi="仿宋" w:eastAsia="仿宋"/>
          <w:sz w:val="28"/>
          <w:szCs w:val="21"/>
        </w:rPr>
      </w:pPr>
    </w:p>
    <w:p>
      <w:pPr>
        <w:spacing w:after="0" w:line="408" w:lineRule="auto"/>
        <w:ind w:firstLine="440" w:firstLineChars="200"/>
        <w:jc w:val="both"/>
        <w:rPr>
          <w:rFonts w:hint="eastAsia" w:ascii="仿宋" w:hAnsi="仿宋" w:eastAsia="仿宋"/>
          <w:sz w:val="28"/>
          <w:szCs w:val="21"/>
        </w:rPr>
      </w:pPr>
      <w:r>
        <w:drawing>
          <wp:inline distT="0" distB="0" distL="0" distR="0">
            <wp:extent cx="2519680" cy="1871345"/>
            <wp:effectExtent l="0" t="0" r="0" b="0"/>
            <wp:docPr id="17704875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23933" cy="1874922"/>
                    </a:xfrm>
                    <a:prstGeom prst="rect">
                      <a:avLst/>
                    </a:prstGeom>
                    <a:noFill/>
                    <a:ln>
                      <a:noFill/>
                    </a:ln>
                  </pic:spPr>
                </pic:pic>
              </a:graphicData>
            </a:graphic>
          </wp:inline>
        </w:drawing>
      </w:r>
      <w:r>
        <w:rPr>
          <w:rFonts w:hint="eastAsia" w:ascii="仿宋" w:hAnsi="仿宋" w:eastAsia="仿宋"/>
          <w:sz w:val="28"/>
        </w:rPr>
        <w:t xml:space="preserve">    </w:t>
      </w:r>
      <w:r>
        <w:drawing>
          <wp:inline distT="0" distB="0" distL="0" distR="0">
            <wp:extent cx="2524125" cy="1870710"/>
            <wp:effectExtent l="0" t="0" r="9525" b="0"/>
            <wp:docPr id="33334820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48201"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27188" cy="1872980"/>
                    </a:xfrm>
                    <a:prstGeom prst="rect">
                      <a:avLst/>
                    </a:prstGeom>
                    <a:noFill/>
                    <a:ln>
                      <a:noFill/>
                    </a:ln>
                  </pic:spPr>
                </pic:pic>
              </a:graphicData>
            </a:graphic>
          </wp:inline>
        </w:drawing>
      </w:r>
    </w:p>
    <w:p>
      <w:pPr>
        <w:spacing w:after="0" w:line="408" w:lineRule="auto"/>
        <w:ind w:firstLine="560" w:firstLineChars="200"/>
        <w:jc w:val="both"/>
        <w:rPr>
          <w:rFonts w:hint="eastAsia" w:ascii="仿宋" w:hAnsi="仿宋" w:eastAsia="仿宋"/>
          <w:sz w:val="28"/>
          <w:szCs w:val="21"/>
        </w:rPr>
      </w:pPr>
    </w:p>
    <w:p>
      <w:pPr>
        <w:spacing w:after="0" w:line="408" w:lineRule="auto"/>
        <w:ind w:firstLine="440" w:firstLineChars="200"/>
        <w:jc w:val="both"/>
        <w:rPr>
          <w:rFonts w:hint="eastAsia" w:ascii="仿宋" w:hAnsi="仿宋" w:eastAsia="仿宋"/>
          <w:sz w:val="28"/>
          <w:szCs w:val="21"/>
        </w:rPr>
      </w:pPr>
      <w:r>
        <w:drawing>
          <wp:inline distT="0" distB="0" distL="0" distR="0">
            <wp:extent cx="2519680" cy="1889760"/>
            <wp:effectExtent l="0" t="0" r="0" b="0"/>
            <wp:docPr id="17366989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989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20000" cy="1890000"/>
                    </a:xfrm>
                    <a:prstGeom prst="rect">
                      <a:avLst/>
                    </a:prstGeom>
                    <a:noFill/>
                    <a:ln>
                      <a:noFill/>
                    </a:ln>
                  </pic:spPr>
                </pic:pic>
              </a:graphicData>
            </a:graphic>
          </wp:inline>
        </w:drawing>
      </w:r>
      <w:r>
        <w:rPr>
          <w:rFonts w:hint="eastAsia" w:ascii="仿宋" w:hAnsi="仿宋" w:eastAsia="仿宋"/>
          <w:sz w:val="28"/>
        </w:rPr>
        <w:t xml:space="preserve">    </w:t>
      </w:r>
      <w:r>
        <w:drawing>
          <wp:inline distT="0" distB="0" distL="0" distR="0">
            <wp:extent cx="2519680" cy="1889760"/>
            <wp:effectExtent l="0" t="0" r="0" b="0"/>
            <wp:docPr id="16336527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5272"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20000" cy="1890000"/>
                    </a:xfrm>
                    <a:prstGeom prst="rect">
                      <a:avLst/>
                    </a:prstGeom>
                    <a:noFill/>
                    <a:ln>
                      <a:noFill/>
                    </a:ln>
                  </pic:spPr>
                </pic:pic>
              </a:graphicData>
            </a:graphic>
          </wp:inline>
        </w:drawing>
      </w:r>
    </w:p>
    <w:p>
      <w:pPr>
        <w:spacing w:after="0" w:line="408" w:lineRule="auto"/>
        <w:ind w:firstLine="562" w:firstLineChars="200"/>
        <w:rPr>
          <w:rFonts w:hint="eastAsia"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422" w:firstLineChars="200"/>
        <w:outlineLvl w:val="0"/>
        <w:rPr>
          <w:rFonts w:hint="eastAsia" w:ascii="仿宋" w:hAnsi="仿宋" w:eastAsia="仿宋"/>
          <w:b/>
          <w:sz w:val="21"/>
          <w:szCs w:val="16"/>
        </w:rPr>
      </w:pPr>
      <w:bookmarkStart w:id="56" w:name="_Toc208903683"/>
      <w:r>
        <w:rPr>
          <w:rFonts w:hint="eastAsia" w:ascii="仿宋" w:hAnsi="仿宋" w:eastAsia="仿宋"/>
          <w:b/>
          <w:sz w:val="21"/>
          <w:szCs w:val="16"/>
        </w:rPr>
        <w:t>附件三：绩效评价指标体系及得分情况表</w:t>
      </w:r>
      <w:bookmarkEnd w:id="56"/>
    </w:p>
    <w:tbl>
      <w:tblPr>
        <w:tblStyle w:val="90"/>
        <w:tblW w:w="10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701"/>
        <w:gridCol w:w="1619"/>
        <w:gridCol w:w="1844"/>
        <w:gridCol w:w="3326"/>
        <w:gridCol w:w="492"/>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一级指标</w:t>
            </w:r>
          </w:p>
        </w:tc>
        <w:tc>
          <w:tcPr>
            <w:tcW w:w="1701"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二级指标</w:t>
            </w:r>
          </w:p>
        </w:tc>
        <w:tc>
          <w:tcPr>
            <w:tcW w:w="1619"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三级指标</w:t>
            </w:r>
          </w:p>
        </w:tc>
        <w:tc>
          <w:tcPr>
            <w:tcW w:w="1844"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指标解释</w:t>
            </w:r>
          </w:p>
        </w:tc>
        <w:tc>
          <w:tcPr>
            <w:tcW w:w="3326"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评分标准</w:t>
            </w:r>
          </w:p>
        </w:tc>
        <w:tc>
          <w:tcPr>
            <w:tcW w:w="492"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分值</w:t>
            </w:r>
          </w:p>
        </w:tc>
        <w:tc>
          <w:tcPr>
            <w:tcW w:w="490"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决策（15%）</w:t>
            </w:r>
          </w:p>
        </w:tc>
        <w:tc>
          <w:tcPr>
            <w:tcW w:w="1701"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项目立项（5分）</w:t>
            </w: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立项依据充分性（2分）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项目立项是否符合法律法规、相关政策、发展规划以及部门职责，用以反映和考核项目立项依据情况。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①项目立项是否符合国家法律法规、国民经济发展规划和相关政策；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②项目立项是否符合行业发展规划和政策要求；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③项目立项是否与部门职责范围相符，属于部门履职所需；</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④项目是否属于公共财政支持范围，是否符合中央、地方事权支出责任划分原则；</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⑤项目是否与相关部门同类项目或部门内部相关项目重复。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一项不符扣0.4分，扣完为止。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立项程序规范性（3分）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项目申请、设立过程是否符合相关要求，用以反映和考核项目立项的规范情况。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①项目是否按照规定的程序申请设立；</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②审批文件、材料是否符合相关要求；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③事前是否已经过必要的可行性研究、专家论证、风险评估、绩效评估、集体决策。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绩效目标（6分）</w:t>
            </w: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绩效目标合理性（3分）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项目所设定的绩效目标是否依据充分，是否符合客观实际，用以反映和考核项目绩效目标与项目实施的相符情况。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①项目是否有绩效目标且目标设置是否合理；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②项目绩效目标与实际工作内容是否具有相关性；</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③绩效目标设置是否完整、可理解。</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绩效目标明确性（3分）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依据绩效目标设定的绩效指标是否清晰、细化、可衡量等，用以反映和考核项目绩效目标的细化情况。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①是否将项目绩效目标细化分解为具体的绩效指标；</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②是否通过清晰、可衡量的指标值予以体现；</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③是否与项目目标任务数或计划数相对应。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资金投入（4分）</w:t>
            </w: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预算编制科学性（2分）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项目预算编制是否经过科学论证、有明确标准，资金额度与年度目标是否相适应，用以反映和考核项目预算编制的科学性、合理性情况。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①预算编制是否经过科学论证；</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②预算内容与项目内容是否匹配；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③预算额度测算依据是否充分，是否按照标准编制；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④预算确定的项目投资额或资金量是否与工作任务相匹配。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一项不符扣0.5分，扣完为止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资金分配合理性（2分）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项目预算资金分配是否有测算依据；与补助单位或地方实际是否相适应。用以反映和考核项目预算资金分配的科学性、合理性情况。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①预算资金分配依据是否充分；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②资金分配额度是否合理，与项目单位或地方实际是否相适应。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过程（24%）</w:t>
            </w:r>
          </w:p>
        </w:tc>
        <w:tc>
          <w:tcPr>
            <w:tcW w:w="1701"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绩效管理（10分）</w:t>
            </w: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绩效自评合规性（3分）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是否按要求开展绩效自评工作；绩效自评报告是否报送及时，绩效自评是否真实可靠。</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①是否按要求开展绩效自评工作；</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②绩效自评报告是否报送及时；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③绩效自评报告是否完整，数据是否全面、真实、准确，绩效指标是否细化量化和科学合理。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预算执行率（3分）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项目预算资金是否按照计划执行，用以反映或考核项目预算执行情况（预算执行率=（实际支出资金/实际到位资金）×100%）。</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①95%≤预算执行率≤100%，得3分；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②90%≤预算执行率﹤95%，得2分；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③80%≤预算执行率﹤90%，得1分；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④预算执行率﹤80%，得0分。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资金到位率（2分）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实际到位资金与预算资金的比率，用以反映和考核资金落实情况对项目实施的总体保障程度。</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评价要点：资金到位率=（实际到位资金/预算资金）×100%。</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①90%≤资金到位率≤100%，得2分；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②90%≤资金到位率﹤70%，得1分；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③资金到位率﹤70%，得0分。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资金使用合规性（2分）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项目资金使用是否符合相关的财务管理制度规定，用以反映和考核项目资金的规范运行情况。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①是否符合国家财经法规和财务管理制度以及有关专项资金管理办法的规定；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②资金的拨付是否有完整的审批程序和手续；</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③是否符合项目预算批复或合同规定的用途；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④是否存在截留、挤占、挪用、虚列支出等情况。</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一项不符扣0.5分，扣完为止。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组织实施（14分）</w:t>
            </w: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管理制度健全性（4分）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项目实施单位的财务和业务管理制度是否健全，用以反映和考核财务和业务管理制度对项目顺利实施的保障情况。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①是否有使用相关管理制度文件来管理资金；</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②是否有专门制定相关的管理制度文件并正式发文；</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③管理制度文件是否有严格执行；</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④财务和业务管理制度是否合法、合规、完整。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跟踪回访工作充足性（2分）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主管单位是否有对补贴后的人员及单位进行必要的跟踪回访工作。</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①是否有对通过补贴的单位或者个人进行跟踪回访工作；</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②跟踪回访工作是否及时、充足。</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文件执行的合规性（2分）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主管单位在开展补贴工作时是否严格按照文件的标准来开展执行补贴工作。</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①是否严格按照文件的标准来开展补贴工作；</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②补贴的金额是否符合文件的规定。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设立电子台账（2分）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主管单位对关于申报补贴的相关资料是否形成电子台账。</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评价要点：对于项目相关的资料是否形成电子台账进行电子管理。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政务公开的合规性（2分）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主管单位对补贴项目是否进行必要的政务公开。</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①补贴项目是否有进行必要的公开；</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②是否所有应当公开的项目均有公开。</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对项目的监督考核（2分）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主管补贴对补贴项目是否进行必要的监督与考核。</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①对补贴项目是否进行必要的监督与考核；</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②对项目的监督与考核是否充足。</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产出（37%）</w:t>
            </w:r>
          </w:p>
        </w:tc>
        <w:tc>
          <w:tcPr>
            <w:tcW w:w="1701"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产出数量（22分）</w:t>
            </w: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公益性岗位补贴发放人数（4分）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2024年度通过申报享受公益性岗位补贴的人数。</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①补贴人数≥130人，得4分；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②130人&gt;补贴人数≥120人，得3分；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③120人&gt;补贴人数≥110人，得2分；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④110人&gt;补贴人数，得1分。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发放公益性岗位补贴的金额（4分）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2024年度发放公益性岗位补贴的金额。</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①补贴金额≥90万，得4分；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②90万&gt;补贴金额≥85万，得3分；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③85万&gt;补贴金额≥80万，得2分；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④80万&gt;补贴金额，得1分。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社保补贴发放人数（4分）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2024年度通过申报享受社保补贴发放的人数。</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①补贴人数≥110人，得4分；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②110人&gt;补贴人数≥100人，得3分；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③100人&gt;补贴人数≥90人，得2分；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④90人&gt;补贴人数，得1分。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发放社会保险补贴的金额（4分）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2024年度发放社会保险补贴的金额。</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①补贴金额≥50万，得4分；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②50万&gt;补贴金额≥45万，得3分；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③45万&gt;补贴金额≥40万，得2分；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④40万&gt;补贴金额，得1分。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发放就业见习补贴的金额（3分）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2024年度发放就业见习补贴的金额。</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①补贴金额≥20万，得3分；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②20万&gt;补贴金额≥15万，得2分；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③15万&gt;补贴金额≥10万，得1分。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就业创业服务补助金额（3分）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2024年度发放就业创业服务补助金额。</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①补贴金额≥200万，得3分；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②200万&gt;补贴金额≥190万，得2分；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③190万&gt;补贴金额≥180万，得1分。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产出质量（11分）</w:t>
            </w: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补贴兑现率（4分）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补贴是否达到足额兑现，是否全部足额发放给企业或个人。</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评价要点：补贴款足额发放给企业或个人，没有结余。</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现场核查率（3分）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主管部门是否开展现场审核检查申请人员申报资料的真实性情况。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①现场核查率较高，得3分；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②现场核查率适中，得2分；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③现场核查率较低，得1分；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④未进行现场核查，得0分。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补贴发放的准确率（4分）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发放补贴是否准确地发放到群众的银行账户上，是否存在发放失败，发放错误的情况。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①发放准确率≥90%，得4分；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②90%&gt;发放准确率≥85%，得3分；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③85%&gt;发放准确率≥80%，得2分；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④80%&gt;发放准确率，得1分。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产出成本（4分）</w:t>
            </w: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成本节约率（4分）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项目产出成本是否控制在预算成本范围内。</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①项目产出成本率≤100%，得4分；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②项目产出成本率超出5%以内，得3分；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③项目产出成本率超出5%-10%，得2分；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④项目产出成本率超出10%-15%，得1分。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效益（24%）</w:t>
            </w:r>
          </w:p>
        </w:tc>
        <w:tc>
          <w:tcPr>
            <w:tcW w:w="1701"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社会效益（15分）</w:t>
            </w: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新增就业人数（3分）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2024年在德化地区新增就业人数情况。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①新增就业人数≥3500人，得3分；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②3500人&gt;新增就业人数≥3400人，得2分；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③3400人&gt;新增就业人数≥3300人，得1分；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④3300人&gt;新增就业人数，得0分。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大学生一次性生活补贴率（3分）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2024年度获得大学生一次性生活补贴的人数与首次来德化就业大学生人数的比率。</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①补贴率≥10%，得3分；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②10%&gt;补贴率≥8%，得2分；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③8%&gt;补贴率≥6%，得1分；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④6%&gt;补贴率，得0分。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城镇失业人员再就业人数（3分）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2024年度德化县城镇失业人员再就业人数情况。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①再就业人数≥500人，得3分；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②500人&gt;再就业人数≥400人，得2分；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③400人&gt;再就业人数≥300人，得1分；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④300人&gt;再就业人数，得0分。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开展技能培训人次（3分）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2024年度德化县开展技能培训的人次情况。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①培训人次≥2900人，得3分；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②2900人&gt;培训人次≥2800人，得2分；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③2800人&gt;培训人次≥2700人，得1分；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④2700人&gt;培训人次，得0分。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新增技能人才的数量（3分）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2024年度德化县新增技能人才的数量情况。</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①就业率≥2200人，得3分；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②2200人&gt;就业率≥2100人，得2分；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③2100人&gt;就业率≥2000人，得1分；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④2000人&gt;就业率，得0分。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restart"/>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可持续性指标（6分）</w:t>
            </w: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技能培训后的就业情况（3分）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参与技能培训或参与见证补贴的人员后续就业的情况，所培训的技能是否有促进就业，是否在相应所培训的岗位上就业。</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①就业率≥40%，得3分；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②40%&gt;就业率≥30%，得2分；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③30%&gt;就业率≥20%，得1分；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④20%&gt;就业率，得0分。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color w:val="0000FF"/>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就业补助金政策的宣传力度（3分）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评价主管部门在就业补助金的宣传力度情况，宣传方式是否多样，宣传是否有效果，群众是否知晓。</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①宣传力度高，得3分；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②宣传力度较高，得2分；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③宣传力度适中，得1分；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④宣传力度较低，得0分；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40" w:type="dxa"/>
            <w:vMerge w:val="continue"/>
            <w:vAlign w:val="center"/>
          </w:tcPr>
          <w:p>
            <w:pPr>
              <w:adjustRightInd w:val="0"/>
              <w:snapToGrid w:val="0"/>
              <w:spacing w:after="0" w:line="408" w:lineRule="auto"/>
              <w:rPr>
                <w:rFonts w:hint="eastAsia" w:ascii="仿宋" w:hAnsi="仿宋" w:eastAsia="仿宋"/>
                <w:bCs/>
                <w:snapToGrid w:val="0"/>
                <w:kern w:val="0"/>
                <w:sz w:val="18"/>
                <w:szCs w:val="21"/>
              </w:rPr>
            </w:pPr>
          </w:p>
        </w:tc>
        <w:tc>
          <w:tcPr>
            <w:tcW w:w="1701"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满意度（3分）</w:t>
            </w:r>
          </w:p>
        </w:tc>
        <w:tc>
          <w:tcPr>
            <w:tcW w:w="1619"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群众对就业补助金政策的满意度（3分）</w:t>
            </w:r>
          </w:p>
        </w:tc>
        <w:tc>
          <w:tcPr>
            <w:tcW w:w="1844"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人民群众对就业补助金政策是否感到满意。</w:t>
            </w:r>
          </w:p>
        </w:tc>
        <w:tc>
          <w:tcPr>
            <w:tcW w:w="3326" w:type="dxa"/>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①非常满意，得3分；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②很满意，得2分；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③满意，得1分；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④一般，得0分；</w:t>
            </w:r>
          </w:p>
        </w:tc>
        <w:tc>
          <w:tcPr>
            <w:tcW w:w="492"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490" w:type="dxa"/>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530" w:type="dxa"/>
            <w:gridSpan w:val="5"/>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总得分</w:t>
            </w:r>
          </w:p>
        </w:tc>
        <w:tc>
          <w:tcPr>
            <w:tcW w:w="982" w:type="dxa"/>
            <w:gridSpan w:val="2"/>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89</w:t>
            </w:r>
          </w:p>
        </w:tc>
      </w:tr>
    </w:tbl>
    <w:p>
      <w:pPr>
        <w:spacing w:after="0" w:line="408" w:lineRule="auto"/>
        <w:ind w:firstLine="560" w:firstLineChars="200"/>
        <w:jc w:val="both"/>
        <w:rPr>
          <w:rFonts w:hint="eastAsia" w:ascii="仿宋" w:hAnsi="仿宋" w:eastAsia="仿宋"/>
          <w:sz w:val="28"/>
          <w:szCs w:val="21"/>
        </w:rPr>
      </w:pPr>
    </w:p>
    <w:sectPr>
      <w:footerReference r:id="rId5" w:type="default"/>
      <w:pgSz w:w="11906" w:h="16838"/>
      <w:pgMar w:top="720" w:right="771" w:bottom="1151" w:left="839" w:header="851" w:footer="34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hint="eastAsia"/>
      </w:rPr>
    </w:pPr>
  </w:p>
  <w:p>
    <w:pPr>
      <w:pStyle w:val="5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540274"/>
    </w:sdtPr>
    <w:sdtContent>
      <w:p>
        <w:pPr>
          <w:pStyle w:val="55"/>
          <w:jc w:val="center"/>
          <w:rPr>
            <w:rFonts w:hint="eastAsia"/>
          </w:rPr>
        </w:pPr>
        <w:r>
          <w:fldChar w:fldCharType="begin"/>
        </w:r>
        <w:r>
          <w:instrText xml:space="preserve">PAGE   \* MERGEFORMAT</w:instrText>
        </w:r>
        <w:r>
          <w:fldChar w:fldCharType="separate"/>
        </w:r>
        <w:r>
          <w:rPr>
            <w:lang w:val="zh-CN"/>
          </w:rPr>
          <w:t>1</w:t>
        </w:r>
        <w:r>
          <w:fldChar w:fldCharType="end"/>
        </w:r>
      </w:p>
    </w:sdtContent>
  </w:sdt>
  <w:p>
    <w:pPr>
      <w:pStyle w:val="5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0NTJmMzg4ZGEwNWZlODZiZjU2NWZmMzRjMjM0YWEifQ=="/>
  </w:docVars>
  <w:rsids>
    <w:rsidRoot w:val="003F1829"/>
    <w:rsid w:val="00000E08"/>
    <w:rsid w:val="0000117A"/>
    <w:rsid w:val="000037D8"/>
    <w:rsid w:val="0000398C"/>
    <w:rsid w:val="00005F58"/>
    <w:rsid w:val="0000619A"/>
    <w:rsid w:val="00006C57"/>
    <w:rsid w:val="0001032F"/>
    <w:rsid w:val="0001082F"/>
    <w:rsid w:val="000109B7"/>
    <w:rsid w:val="00014F8B"/>
    <w:rsid w:val="00015811"/>
    <w:rsid w:val="00015A30"/>
    <w:rsid w:val="00016EF6"/>
    <w:rsid w:val="000172AE"/>
    <w:rsid w:val="00020667"/>
    <w:rsid w:val="000208A1"/>
    <w:rsid w:val="000217C8"/>
    <w:rsid w:val="00021E96"/>
    <w:rsid w:val="000268AF"/>
    <w:rsid w:val="00026E99"/>
    <w:rsid w:val="00030B23"/>
    <w:rsid w:val="000311F4"/>
    <w:rsid w:val="0003634E"/>
    <w:rsid w:val="00036BDF"/>
    <w:rsid w:val="00036C92"/>
    <w:rsid w:val="000371F9"/>
    <w:rsid w:val="00045E85"/>
    <w:rsid w:val="00047048"/>
    <w:rsid w:val="00050033"/>
    <w:rsid w:val="000518D0"/>
    <w:rsid w:val="00053338"/>
    <w:rsid w:val="0005334B"/>
    <w:rsid w:val="00053E8B"/>
    <w:rsid w:val="00054465"/>
    <w:rsid w:val="00057FA8"/>
    <w:rsid w:val="00060696"/>
    <w:rsid w:val="00060D63"/>
    <w:rsid w:val="00061C19"/>
    <w:rsid w:val="00061D58"/>
    <w:rsid w:val="00062F62"/>
    <w:rsid w:val="00063213"/>
    <w:rsid w:val="00064196"/>
    <w:rsid w:val="00064327"/>
    <w:rsid w:val="00064728"/>
    <w:rsid w:val="00064948"/>
    <w:rsid w:val="00064EDE"/>
    <w:rsid w:val="00065D3A"/>
    <w:rsid w:val="00066B7A"/>
    <w:rsid w:val="00067218"/>
    <w:rsid w:val="000674BA"/>
    <w:rsid w:val="00067962"/>
    <w:rsid w:val="00070C85"/>
    <w:rsid w:val="00071AAC"/>
    <w:rsid w:val="000724BC"/>
    <w:rsid w:val="000754CB"/>
    <w:rsid w:val="00076118"/>
    <w:rsid w:val="000764BE"/>
    <w:rsid w:val="000777ED"/>
    <w:rsid w:val="00080E01"/>
    <w:rsid w:val="00082C23"/>
    <w:rsid w:val="00082CB9"/>
    <w:rsid w:val="00083E1D"/>
    <w:rsid w:val="00084DBB"/>
    <w:rsid w:val="00085C6A"/>
    <w:rsid w:val="00086E3E"/>
    <w:rsid w:val="000916B0"/>
    <w:rsid w:val="00091A57"/>
    <w:rsid w:val="000926FB"/>
    <w:rsid w:val="00093F91"/>
    <w:rsid w:val="000948FF"/>
    <w:rsid w:val="000A1BBE"/>
    <w:rsid w:val="000A4498"/>
    <w:rsid w:val="000A4FB2"/>
    <w:rsid w:val="000A547D"/>
    <w:rsid w:val="000A6A6C"/>
    <w:rsid w:val="000A73A2"/>
    <w:rsid w:val="000A78A2"/>
    <w:rsid w:val="000B01DA"/>
    <w:rsid w:val="000B148A"/>
    <w:rsid w:val="000B2B28"/>
    <w:rsid w:val="000B3575"/>
    <w:rsid w:val="000B3DD6"/>
    <w:rsid w:val="000B4455"/>
    <w:rsid w:val="000B57D6"/>
    <w:rsid w:val="000B6E9E"/>
    <w:rsid w:val="000B7343"/>
    <w:rsid w:val="000B79E2"/>
    <w:rsid w:val="000B7DA9"/>
    <w:rsid w:val="000C037B"/>
    <w:rsid w:val="000C26EC"/>
    <w:rsid w:val="000C2BAD"/>
    <w:rsid w:val="000C350F"/>
    <w:rsid w:val="000C488E"/>
    <w:rsid w:val="000C4CDD"/>
    <w:rsid w:val="000C57C1"/>
    <w:rsid w:val="000C5AEA"/>
    <w:rsid w:val="000C5D11"/>
    <w:rsid w:val="000D03B5"/>
    <w:rsid w:val="000D115C"/>
    <w:rsid w:val="000D1D81"/>
    <w:rsid w:val="000D2D1F"/>
    <w:rsid w:val="000D3752"/>
    <w:rsid w:val="000D51C9"/>
    <w:rsid w:val="000D63C0"/>
    <w:rsid w:val="000D6F7E"/>
    <w:rsid w:val="000E0BAB"/>
    <w:rsid w:val="000E1A4A"/>
    <w:rsid w:val="000E1B4E"/>
    <w:rsid w:val="000E2369"/>
    <w:rsid w:val="000E67D6"/>
    <w:rsid w:val="000E6C47"/>
    <w:rsid w:val="000F0B45"/>
    <w:rsid w:val="000F2C65"/>
    <w:rsid w:val="000F40EB"/>
    <w:rsid w:val="000F43AF"/>
    <w:rsid w:val="000F4A6C"/>
    <w:rsid w:val="000F53BA"/>
    <w:rsid w:val="000F5E2D"/>
    <w:rsid w:val="000F6DA0"/>
    <w:rsid w:val="001006DA"/>
    <w:rsid w:val="00101FC4"/>
    <w:rsid w:val="00104F6D"/>
    <w:rsid w:val="001060C4"/>
    <w:rsid w:val="00106466"/>
    <w:rsid w:val="00106500"/>
    <w:rsid w:val="00107BD9"/>
    <w:rsid w:val="00112FCC"/>
    <w:rsid w:val="00113147"/>
    <w:rsid w:val="00113470"/>
    <w:rsid w:val="001141E5"/>
    <w:rsid w:val="001142A7"/>
    <w:rsid w:val="00114CDD"/>
    <w:rsid w:val="001150A9"/>
    <w:rsid w:val="001167DC"/>
    <w:rsid w:val="001207DF"/>
    <w:rsid w:val="00120F04"/>
    <w:rsid w:val="00122432"/>
    <w:rsid w:val="00124335"/>
    <w:rsid w:val="00124F30"/>
    <w:rsid w:val="001250AC"/>
    <w:rsid w:val="0012700F"/>
    <w:rsid w:val="001300A0"/>
    <w:rsid w:val="001325B8"/>
    <w:rsid w:val="00134924"/>
    <w:rsid w:val="00135FAB"/>
    <w:rsid w:val="00137865"/>
    <w:rsid w:val="00137E17"/>
    <w:rsid w:val="001429C6"/>
    <w:rsid w:val="00142C8E"/>
    <w:rsid w:val="0014641A"/>
    <w:rsid w:val="00146FE3"/>
    <w:rsid w:val="001529B2"/>
    <w:rsid w:val="00154416"/>
    <w:rsid w:val="00154487"/>
    <w:rsid w:val="00155497"/>
    <w:rsid w:val="001560B8"/>
    <w:rsid w:val="00156393"/>
    <w:rsid w:val="00156DB8"/>
    <w:rsid w:val="00160E10"/>
    <w:rsid w:val="00161D11"/>
    <w:rsid w:val="001642AA"/>
    <w:rsid w:val="001645A5"/>
    <w:rsid w:val="0016636B"/>
    <w:rsid w:val="0016646A"/>
    <w:rsid w:val="0016739A"/>
    <w:rsid w:val="001675D1"/>
    <w:rsid w:val="00171DB6"/>
    <w:rsid w:val="00171EA3"/>
    <w:rsid w:val="00173249"/>
    <w:rsid w:val="001756EB"/>
    <w:rsid w:val="00175E0C"/>
    <w:rsid w:val="0017686D"/>
    <w:rsid w:val="00176B27"/>
    <w:rsid w:val="00180F22"/>
    <w:rsid w:val="00181F0A"/>
    <w:rsid w:val="0018248C"/>
    <w:rsid w:val="0018260B"/>
    <w:rsid w:val="00183738"/>
    <w:rsid w:val="00187225"/>
    <w:rsid w:val="00196ADA"/>
    <w:rsid w:val="00196B93"/>
    <w:rsid w:val="00197678"/>
    <w:rsid w:val="001A14E2"/>
    <w:rsid w:val="001A1889"/>
    <w:rsid w:val="001A20CD"/>
    <w:rsid w:val="001A2621"/>
    <w:rsid w:val="001A2B29"/>
    <w:rsid w:val="001A4784"/>
    <w:rsid w:val="001A53A8"/>
    <w:rsid w:val="001A56CF"/>
    <w:rsid w:val="001A5B1F"/>
    <w:rsid w:val="001A7F0B"/>
    <w:rsid w:val="001B14CB"/>
    <w:rsid w:val="001B5A7B"/>
    <w:rsid w:val="001C1113"/>
    <w:rsid w:val="001C3A78"/>
    <w:rsid w:val="001C464D"/>
    <w:rsid w:val="001C7551"/>
    <w:rsid w:val="001D2A26"/>
    <w:rsid w:val="001D4B1A"/>
    <w:rsid w:val="001D54B7"/>
    <w:rsid w:val="001D6DAF"/>
    <w:rsid w:val="001D78A4"/>
    <w:rsid w:val="001D7C3F"/>
    <w:rsid w:val="001E0F91"/>
    <w:rsid w:val="001E2DD3"/>
    <w:rsid w:val="001E36C7"/>
    <w:rsid w:val="001E3B63"/>
    <w:rsid w:val="001E703C"/>
    <w:rsid w:val="001F1092"/>
    <w:rsid w:val="001F26E6"/>
    <w:rsid w:val="001F3B98"/>
    <w:rsid w:val="001F457F"/>
    <w:rsid w:val="001F4899"/>
    <w:rsid w:val="001F50DC"/>
    <w:rsid w:val="001F5270"/>
    <w:rsid w:val="001F5897"/>
    <w:rsid w:val="0020110C"/>
    <w:rsid w:val="0020181D"/>
    <w:rsid w:val="00204AF7"/>
    <w:rsid w:val="00205A72"/>
    <w:rsid w:val="002069B3"/>
    <w:rsid w:val="002070EF"/>
    <w:rsid w:val="00207A00"/>
    <w:rsid w:val="00210B7B"/>
    <w:rsid w:val="00212B57"/>
    <w:rsid w:val="00215D6E"/>
    <w:rsid w:val="00217314"/>
    <w:rsid w:val="00217691"/>
    <w:rsid w:val="00223A36"/>
    <w:rsid w:val="00223F0B"/>
    <w:rsid w:val="00225207"/>
    <w:rsid w:val="002278DB"/>
    <w:rsid w:val="002313B1"/>
    <w:rsid w:val="00232CE5"/>
    <w:rsid w:val="002331CD"/>
    <w:rsid w:val="002336AB"/>
    <w:rsid w:val="002377FD"/>
    <w:rsid w:val="00240E29"/>
    <w:rsid w:val="002412AB"/>
    <w:rsid w:val="00242A9E"/>
    <w:rsid w:val="00245446"/>
    <w:rsid w:val="00245EB2"/>
    <w:rsid w:val="00246A4F"/>
    <w:rsid w:val="00247286"/>
    <w:rsid w:val="002476C9"/>
    <w:rsid w:val="002505CD"/>
    <w:rsid w:val="00252ED3"/>
    <w:rsid w:val="002535FB"/>
    <w:rsid w:val="00255C02"/>
    <w:rsid w:val="002560B6"/>
    <w:rsid w:val="00257322"/>
    <w:rsid w:val="00257EDA"/>
    <w:rsid w:val="00260037"/>
    <w:rsid w:val="00261BAC"/>
    <w:rsid w:val="002622BB"/>
    <w:rsid w:val="00265505"/>
    <w:rsid w:val="00265ECD"/>
    <w:rsid w:val="00270EF7"/>
    <w:rsid w:val="00272B21"/>
    <w:rsid w:val="00272D51"/>
    <w:rsid w:val="00273574"/>
    <w:rsid w:val="00273D2F"/>
    <w:rsid w:val="0027474D"/>
    <w:rsid w:val="00276A2A"/>
    <w:rsid w:val="00277119"/>
    <w:rsid w:val="00277B6C"/>
    <w:rsid w:val="00282824"/>
    <w:rsid w:val="00282D77"/>
    <w:rsid w:val="00283740"/>
    <w:rsid w:val="0028533B"/>
    <w:rsid w:val="00287143"/>
    <w:rsid w:val="00287930"/>
    <w:rsid w:val="00291E4D"/>
    <w:rsid w:val="002963F3"/>
    <w:rsid w:val="00297D18"/>
    <w:rsid w:val="002A32A4"/>
    <w:rsid w:val="002A359C"/>
    <w:rsid w:val="002A3FF5"/>
    <w:rsid w:val="002A45BC"/>
    <w:rsid w:val="002A4DED"/>
    <w:rsid w:val="002B0014"/>
    <w:rsid w:val="002B1A12"/>
    <w:rsid w:val="002B1CCA"/>
    <w:rsid w:val="002B1FBA"/>
    <w:rsid w:val="002B298C"/>
    <w:rsid w:val="002B383A"/>
    <w:rsid w:val="002B473B"/>
    <w:rsid w:val="002B5800"/>
    <w:rsid w:val="002B5CC8"/>
    <w:rsid w:val="002B6FCB"/>
    <w:rsid w:val="002B7060"/>
    <w:rsid w:val="002C0484"/>
    <w:rsid w:val="002C09A5"/>
    <w:rsid w:val="002C0AAD"/>
    <w:rsid w:val="002C0BE6"/>
    <w:rsid w:val="002C1E98"/>
    <w:rsid w:val="002C2358"/>
    <w:rsid w:val="002C2702"/>
    <w:rsid w:val="002C3997"/>
    <w:rsid w:val="002C40CA"/>
    <w:rsid w:val="002C4CEB"/>
    <w:rsid w:val="002C54D4"/>
    <w:rsid w:val="002C7E9C"/>
    <w:rsid w:val="002D0392"/>
    <w:rsid w:val="002D05B7"/>
    <w:rsid w:val="002D1578"/>
    <w:rsid w:val="002D178D"/>
    <w:rsid w:val="002D2CAD"/>
    <w:rsid w:val="002D4A3E"/>
    <w:rsid w:val="002D4A8A"/>
    <w:rsid w:val="002D7986"/>
    <w:rsid w:val="002D7D98"/>
    <w:rsid w:val="002D7DB4"/>
    <w:rsid w:val="002E0B33"/>
    <w:rsid w:val="002E14E1"/>
    <w:rsid w:val="002E19DB"/>
    <w:rsid w:val="002E2CDA"/>
    <w:rsid w:val="002E5B44"/>
    <w:rsid w:val="002E7BBC"/>
    <w:rsid w:val="002F13AD"/>
    <w:rsid w:val="002F2CD3"/>
    <w:rsid w:val="002F3633"/>
    <w:rsid w:val="002F3E8E"/>
    <w:rsid w:val="002F3FE9"/>
    <w:rsid w:val="002F5B77"/>
    <w:rsid w:val="003001C2"/>
    <w:rsid w:val="00305F07"/>
    <w:rsid w:val="00306ACC"/>
    <w:rsid w:val="00306D6E"/>
    <w:rsid w:val="00307C1E"/>
    <w:rsid w:val="00310DEA"/>
    <w:rsid w:val="00311708"/>
    <w:rsid w:val="00314240"/>
    <w:rsid w:val="003149BC"/>
    <w:rsid w:val="0031696C"/>
    <w:rsid w:val="00316EF1"/>
    <w:rsid w:val="00317461"/>
    <w:rsid w:val="003214C4"/>
    <w:rsid w:val="003225DC"/>
    <w:rsid w:val="00324CFA"/>
    <w:rsid w:val="00327FE7"/>
    <w:rsid w:val="003341D2"/>
    <w:rsid w:val="00334BAD"/>
    <w:rsid w:val="003355E9"/>
    <w:rsid w:val="00337C89"/>
    <w:rsid w:val="00337E49"/>
    <w:rsid w:val="003400FA"/>
    <w:rsid w:val="00340719"/>
    <w:rsid w:val="00342CD4"/>
    <w:rsid w:val="00344898"/>
    <w:rsid w:val="003461FE"/>
    <w:rsid w:val="00346202"/>
    <w:rsid w:val="003466C4"/>
    <w:rsid w:val="00346A78"/>
    <w:rsid w:val="00346C30"/>
    <w:rsid w:val="00347399"/>
    <w:rsid w:val="00347E6C"/>
    <w:rsid w:val="00350850"/>
    <w:rsid w:val="00350A3D"/>
    <w:rsid w:val="0035199B"/>
    <w:rsid w:val="003551B2"/>
    <w:rsid w:val="003552B4"/>
    <w:rsid w:val="0035621E"/>
    <w:rsid w:val="00357BC9"/>
    <w:rsid w:val="00360266"/>
    <w:rsid w:val="0036030C"/>
    <w:rsid w:val="003658AE"/>
    <w:rsid w:val="00365DA7"/>
    <w:rsid w:val="00367023"/>
    <w:rsid w:val="00375336"/>
    <w:rsid w:val="0037753E"/>
    <w:rsid w:val="00380DCB"/>
    <w:rsid w:val="00380FAA"/>
    <w:rsid w:val="0038154E"/>
    <w:rsid w:val="0038255C"/>
    <w:rsid w:val="00383514"/>
    <w:rsid w:val="00384C66"/>
    <w:rsid w:val="00385C7A"/>
    <w:rsid w:val="0038664E"/>
    <w:rsid w:val="0039013E"/>
    <w:rsid w:val="00390711"/>
    <w:rsid w:val="0039176F"/>
    <w:rsid w:val="00391CBC"/>
    <w:rsid w:val="003932C4"/>
    <w:rsid w:val="00393BE6"/>
    <w:rsid w:val="00397494"/>
    <w:rsid w:val="003A1181"/>
    <w:rsid w:val="003A2BD6"/>
    <w:rsid w:val="003A3798"/>
    <w:rsid w:val="003A5342"/>
    <w:rsid w:val="003A53A2"/>
    <w:rsid w:val="003A6730"/>
    <w:rsid w:val="003B4941"/>
    <w:rsid w:val="003B56FD"/>
    <w:rsid w:val="003B7E16"/>
    <w:rsid w:val="003C0DEF"/>
    <w:rsid w:val="003C14CC"/>
    <w:rsid w:val="003C1B2C"/>
    <w:rsid w:val="003C3ADF"/>
    <w:rsid w:val="003C4F6D"/>
    <w:rsid w:val="003C519F"/>
    <w:rsid w:val="003C5D7B"/>
    <w:rsid w:val="003C61BC"/>
    <w:rsid w:val="003C6244"/>
    <w:rsid w:val="003D1726"/>
    <w:rsid w:val="003D26C0"/>
    <w:rsid w:val="003D3A54"/>
    <w:rsid w:val="003D3A9D"/>
    <w:rsid w:val="003D3E90"/>
    <w:rsid w:val="003D5768"/>
    <w:rsid w:val="003D5AE2"/>
    <w:rsid w:val="003E0038"/>
    <w:rsid w:val="003E1C82"/>
    <w:rsid w:val="003E2520"/>
    <w:rsid w:val="003E2EB5"/>
    <w:rsid w:val="003E3A06"/>
    <w:rsid w:val="003E56D6"/>
    <w:rsid w:val="003E74E0"/>
    <w:rsid w:val="003F075D"/>
    <w:rsid w:val="003F0953"/>
    <w:rsid w:val="003F1829"/>
    <w:rsid w:val="003F2853"/>
    <w:rsid w:val="003F3631"/>
    <w:rsid w:val="003F3EE0"/>
    <w:rsid w:val="003F4932"/>
    <w:rsid w:val="003F538D"/>
    <w:rsid w:val="003F57E1"/>
    <w:rsid w:val="003F683D"/>
    <w:rsid w:val="003F7709"/>
    <w:rsid w:val="0040036D"/>
    <w:rsid w:val="004058B1"/>
    <w:rsid w:val="0040650C"/>
    <w:rsid w:val="004109EF"/>
    <w:rsid w:val="00411357"/>
    <w:rsid w:val="004140AC"/>
    <w:rsid w:val="00414515"/>
    <w:rsid w:val="00416653"/>
    <w:rsid w:val="00416933"/>
    <w:rsid w:val="00416C04"/>
    <w:rsid w:val="004178A4"/>
    <w:rsid w:val="00421563"/>
    <w:rsid w:val="00421667"/>
    <w:rsid w:val="004233C0"/>
    <w:rsid w:val="004250CC"/>
    <w:rsid w:val="00426AC8"/>
    <w:rsid w:val="0042711F"/>
    <w:rsid w:val="004302E6"/>
    <w:rsid w:val="00431EFD"/>
    <w:rsid w:val="00434772"/>
    <w:rsid w:val="00434969"/>
    <w:rsid w:val="004369E3"/>
    <w:rsid w:val="004379D3"/>
    <w:rsid w:val="0044082A"/>
    <w:rsid w:val="004432CB"/>
    <w:rsid w:val="00444C9E"/>
    <w:rsid w:val="00445232"/>
    <w:rsid w:val="00445557"/>
    <w:rsid w:val="00445823"/>
    <w:rsid w:val="00446F37"/>
    <w:rsid w:val="004471BB"/>
    <w:rsid w:val="00447A37"/>
    <w:rsid w:val="00451C56"/>
    <w:rsid w:val="004526AE"/>
    <w:rsid w:val="004528F9"/>
    <w:rsid w:val="00452900"/>
    <w:rsid w:val="0045402A"/>
    <w:rsid w:val="0045415E"/>
    <w:rsid w:val="004548E2"/>
    <w:rsid w:val="00454EF8"/>
    <w:rsid w:val="00460C41"/>
    <w:rsid w:val="00461A98"/>
    <w:rsid w:val="00461B04"/>
    <w:rsid w:val="00462CD8"/>
    <w:rsid w:val="00464E6F"/>
    <w:rsid w:val="00464E76"/>
    <w:rsid w:val="0046509A"/>
    <w:rsid w:val="00465228"/>
    <w:rsid w:val="00470163"/>
    <w:rsid w:val="00472188"/>
    <w:rsid w:val="00472A19"/>
    <w:rsid w:val="0047326F"/>
    <w:rsid w:val="00474786"/>
    <w:rsid w:val="0048010A"/>
    <w:rsid w:val="0048034E"/>
    <w:rsid w:val="004808ED"/>
    <w:rsid w:val="00480BF3"/>
    <w:rsid w:val="00481247"/>
    <w:rsid w:val="004822EA"/>
    <w:rsid w:val="00483EDE"/>
    <w:rsid w:val="00485309"/>
    <w:rsid w:val="00485C28"/>
    <w:rsid w:val="004900BD"/>
    <w:rsid w:val="00490C68"/>
    <w:rsid w:val="00491140"/>
    <w:rsid w:val="0049362A"/>
    <w:rsid w:val="004A0122"/>
    <w:rsid w:val="004A25A1"/>
    <w:rsid w:val="004A2670"/>
    <w:rsid w:val="004A3E92"/>
    <w:rsid w:val="004A4A27"/>
    <w:rsid w:val="004A578F"/>
    <w:rsid w:val="004A5CB8"/>
    <w:rsid w:val="004A5D3E"/>
    <w:rsid w:val="004B2275"/>
    <w:rsid w:val="004B4FB5"/>
    <w:rsid w:val="004B5DE1"/>
    <w:rsid w:val="004B6601"/>
    <w:rsid w:val="004B6E70"/>
    <w:rsid w:val="004C17BA"/>
    <w:rsid w:val="004C1F9E"/>
    <w:rsid w:val="004C4643"/>
    <w:rsid w:val="004C4EBF"/>
    <w:rsid w:val="004C5082"/>
    <w:rsid w:val="004C610C"/>
    <w:rsid w:val="004C7FB2"/>
    <w:rsid w:val="004D054F"/>
    <w:rsid w:val="004D145E"/>
    <w:rsid w:val="004D1BD5"/>
    <w:rsid w:val="004D2B6C"/>
    <w:rsid w:val="004D3041"/>
    <w:rsid w:val="004D318F"/>
    <w:rsid w:val="004D329B"/>
    <w:rsid w:val="004D6829"/>
    <w:rsid w:val="004D7293"/>
    <w:rsid w:val="004D7D35"/>
    <w:rsid w:val="004E0D10"/>
    <w:rsid w:val="004E130F"/>
    <w:rsid w:val="004E19F7"/>
    <w:rsid w:val="004E3F15"/>
    <w:rsid w:val="004F4108"/>
    <w:rsid w:val="004F58F0"/>
    <w:rsid w:val="004F75ED"/>
    <w:rsid w:val="004F7C15"/>
    <w:rsid w:val="00501080"/>
    <w:rsid w:val="00501476"/>
    <w:rsid w:val="00501E38"/>
    <w:rsid w:val="00501E67"/>
    <w:rsid w:val="00504C79"/>
    <w:rsid w:val="00504D2A"/>
    <w:rsid w:val="0050650F"/>
    <w:rsid w:val="005110CE"/>
    <w:rsid w:val="00511B60"/>
    <w:rsid w:val="00512032"/>
    <w:rsid w:val="005144C6"/>
    <w:rsid w:val="00515077"/>
    <w:rsid w:val="00515512"/>
    <w:rsid w:val="0051595B"/>
    <w:rsid w:val="00516AD7"/>
    <w:rsid w:val="00520027"/>
    <w:rsid w:val="005207A7"/>
    <w:rsid w:val="005217DD"/>
    <w:rsid w:val="00521D1F"/>
    <w:rsid w:val="0052288B"/>
    <w:rsid w:val="00527527"/>
    <w:rsid w:val="005302CE"/>
    <w:rsid w:val="00531EE2"/>
    <w:rsid w:val="00533885"/>
    <w:rsid w:val="005344A4"/>
    <w:rsid w:val="00534515"/>
    <w:rsid w:val="005346AD"/>
    <w:rsid w:val="00536A51"/>
    <w:rsid w:val="005372CF"/>
    <w:rsid w:val="00540C44"/>
    <w:rsid w:val="00541549"/>
    <w:rsid w:val="00541F2C"/>
    <w:rsid w:val="00543B5C"/>
    <w:rsid w:val="00545B54"/>
    <w:rsid w:val="00545CF0"/>
    <w:rsid w:val="00546C50"/>
    <w:rsid w:val="005474E2"/>
    <w:rsid w:val="00551D26"/>
    <w:rsid w:val="0055307A"/>
    <w:rsid w:val="005531CD"/>
    <w:rsid w:val="005542AA"/>
    <w:rsid w:val="0055455D"/>
    <w:rsid w:val="00554A71"/>
    <w:rsid w:val="00556974"/>
    <w:rsid w:val="00556F99"/>
    <w:rsid w:val="0056036F"/>
    <w:rsid w:val="0056067E"/>
    <w:rsid w:val="005607E0"/>
    <w:rsid w:val="00560FAB"/>
    <w:rsid w:val="005612B0"/>
    <w:rsid w:val="00563A89"/>
    <w:rsid w:val="00563ADB"/>
    <w:rsid w:val="0056592D"/>
    <w:rsid w:val="00565F38"/>
    <w:rsid w:val="00567006"/>
    <w:rsid w:val="00570282"/>
    <w:rsid w:val="00570A3F"/>
    <w:rsid w:val="00570DAE"/>
    <w:rsid w:val="00570DFE"/>
    <w:rsid w:val="00573414"/>
    <w:rsid w:val="00573FCF"/>
    <w:rsid w:val="0057405A"/>
    <w:rsid w:val="005740A0"/>
    <w:rsid w:val="005748B2"/>
    <w:rsid w:val="00575D14"/>
    <w:rsid w:val="0058021D"/>
    <w:rsid w:val="00580CC0"/>
    <w:rsid w:val="00584FF2"/>
    <w:rsid w:val="005864C1"/>
    <w:rsid w:val="00586854"/>
    <w:rsid w:val="00586A21"/>
    <w:rsid w:val="00592257"/>
    <w:rsid w:val="00592937"/>
    <w:rsid w:val="005967B3"/>
    <w:rsid w:val="00596951"/>
    <w:rsid w:val="005A170B"/>
    <w:rsid w:val="005A19AC"/>
    <w:rsid w:val="005A1FE2"/>
    <w:rsid w:val="005A2351"/>
    <w:rsid w:val="005A2605"/>
    <w:rsid w:val="005A4B58"/>
    <w:rsid w:val="005A529A"/>
    <w:rsid w:val="005B0165"/>
    <w:rsid w:val="005B126A"/>
    <w:rsid w:val="005B195A"/>
    <w:rsid w:val="005B2C48"/>
    <w:rsid w:val="005B2F09"/>
    <w:rsid w:val="005B4428"/>
    <w:rsid w:val="005B44EB"/>
    <w:rsid w:val="005B52F2"/>
    <w:rsid w:val="005B55DA"/>
    <w:rsid w:val="005B6C53"/>
    <w:rsid w:val="005C1925"/>
    <w:rsid w:val="005C4772"/>
    <w:rsid w:val="005C4A9C"/>
    <w:rsid w:val="005C61C9"/>
    <w:rsid w:val="005C679E"/>
    <w:rsid w:val="005C68D9"/>
    <w:rsid w:val="005D0135"/>
    <w:rsid w:val="005D03D9"/>
    <w:rsid w:val="005D0790"/>
    <w:rsid w:val="005D14C6"/>
    <w:rsid w:val="005D24E4"/>
    <w:rsid w:val="005D4937"/>
    <w:rsid w:val="005D7672"/>
    <w:rsid w:val="005E162E"/>
    <w:rsid w:val="005E17DC"/>
    <w:rsid w:val="005E1DB1"/>
    <w:rsid w:val="005E2DE3"/>
    <w:rsid w:val="005E4211"/>
    <w:rsid w:val="005E4663"/>
    <w:rsid w:val="005E5E08"/>
    <w:rsid w:val="005F1418"/>
    <w:rsid w:val="005F148E"/>
    <w:rsid w:val="005F516F"/>
    <w:rsid w:val="005F520C"/>
    <w:rsid w:val="005F56E0"/>
    <w:rsid w:val="005F5A81"/>
    <w:rsid w:val="005F668B"/>
    <w:rsid w:val="005F679A"/>
    <w:rsid w:val="005F791B"/>
    <w:rsid w:val="00602118"/>
    <w:rsid w:val="00604B5E"/>
    <w:rsid w:val="00606056"/>
    <w:rsid w:val="00606728"/>
    <w:rsid w:val="0060769D"/>
    <w:rsid w:val="0061171F"/>
    <w:rsid w:val="0061214A"/>
    <w:rsid w:val="00613098"/>
    <w:rsid w:val="00613FBF"/>
    <w:rsid w:val="006145CF"/>
    <w:rsid w:val="0061561C"/>
    <w:rsid w:val="00615DDE"/>
    <w:rsid w:val="006204CA"/>
    <w:rsid w:val="006213AC"/>
    <w:rsid w:val="006228C5"/>
    <w:rsid w:val="006233E4"/>
    <w:rsid w:val="00623E5A"/>
    <w:rsid w:val="006241F0"/>
    <w:rsid w:val="006244D5"/>
    <w:rsid w:val="00625E60"/>
    <w:rsid w:val="006266FE"/>
    <w:rsid w:val="0063057C"/>
    <w:rsid w:val="006307D2"/>
    <w:rsid w:val="00633046"/>
    <w:rsid w:val="006332CC"/>
    <w:rsid w:val="00633591"/>
    <w:rsid w:val="00633F7B"/>
    <w:rsid w:val="00634D36"/>
    <w:rsid w:val="00636EAC"/>
    <w:rsid w:val="0063751B"/>
    <w:rsid w:val="00637539"/>
    <w:rsid w:val="00637844"/>
    <w:rsid w:val="0064095E"/>
    <w:rsid w:val="00642CE5"/>
    <w:rsid w:val="006453DB"/>
    <w:rsid w:val="00645A75"/>
    <w:rsid w:val="00645B96"/>
    <w:rsid w:val="00645C60"/>
    <w:rsid w:val="0064618D"/>
    <w:rsid w:val="00646578"/>
    <w:rsid w:val="0065020B"/>
    <w:rsid w:val="006522EF"/>
    <w:rsid w:val="006540D1"/>
    <w:rsid w:val="006552BE"/>
    <w:rsid w:val="00655E79"/>
    <w:rsid w:val="00656D28"/>
    <w:rsid w:val="00661A6E"/>
    <w:rsid w:val="00661D9F"/>
    <w:rsid w:val="006626B0"/>
    <w:rsid w:val="00665966"/>
    <w:rsid w:val="006660B5"/>
    <w:rsid w:val="006667F1"/>
    <w:rsid w:val="0066707A"/>
    <w:rsid w:val="0066720F"/>
    <w:rsid w:val="0067034F"/>
    <w:rsid w:val="006716CF"/>
    <w:rsid w:val="00671866"/>
    <w:rsid w:val="00673725"/>
    <w:rsid w:val="006769F4"/>
    <w:rsid w:val="00676CB8"/>
    <w:rsid w:val="0067777C"/>
    <w:rsid w:val="006777A2"/>
    <w:rsid w:val="00680844"/>
    <w:rsid w:val="00680C6E"/>
    <w:rsid w:val="006811DA"/>
    <w:rsid w:val="00681A39"/>
    <w:rsid w:val="00684E43"/>
    <w:rsid w:val="006862A2"/>
    <w:rsid w:val="00686532"/>
    <w:rsid w:val="00687C35"/>
    <w:rsid w:val="00692362"/>
    <w:rsid w:val="00693F11"/>
    <w:rsid w:val="00694F31"/>
    <w:rsid w:val="00695BB8"/>
    <w:rsid w:val="006962B5"/>
    <w:rsid w:val="006A0497"/>
    <w:rsid w:val="006A0B0E"/>
    <w:rsid w:val="006A1B27"/>
    <w:rsid w:val="006A3477"/>
    <w:rsid w:val="006A4FDE"/>
    <w:rsid w:val="006A6AC1"/>
    <w:rsid w:val="006A7E70"/>
    <w:rsid w:val="006B19E9"/>
    <w:rsid w:val="006B2EC9"/>
    <w:rsid w:val="006B37F3"/>
    <w:rsid w:val="006B412C"/>
    <w:rsid w:val="006B43BA"/>
    <w:rsid w:val="006B5E93"/>
    <w:rsid w:val="006B5EF0"/>
    <w:rsid w:val="006B5F54"/>
    <w:rsid w:val="006B66A2"/>
    <w:rsid w:val="006B6DCA"/>
    <w:rsid w:val="006C20AA"/>
    <w:rsid w:val="006C2BCB"/>
    <w:rsid w:val="006C4D02"/>
    <w:rsid w:val="006C5301"/>
    <w:rsid w:val="006D07D5"/>
    <w:rsid w:val="006D0C73"/>
    <w:rsid w:val="006D101F"/>
    <w:rsid w:val="006D284B"/>
    <w:rsid w:val="006D2D92"/>
    <w:rsid w:val="006D4089"/>
    <w:rsid w:val="006D47FF"/>
    <w:rsid w:val="006D5996"/>
    <w:rsid w:val="006D6649"/>
    <w:rsid w:val="006D688B"/>
    <w:rsid w:val="006E02F7"/>
    <w:rsid w:val="006E2752"/>
    <w:rsid w:val="006E41A9"/>
    <w:rsid w:val="006E645F"/>
    <w:rsid w:val="006E6574"/>
    <w:rsid w:val="006E706C"/>
    <w:rsid w:val="006F0830"/>
    <w:rsid w:val="006F0DCE"/>
    <w:rsid w:val="006F1C5C"/>
    <w:rsid w:val="006F1FCA"/>
    <w:rsid w:val="006F2308"/>
    <w:rsid w:val="006F2CC4"/>
    <w:rsid w:val="006F480B"/>
    <w:rsid w:val="006F5C5C"/>
    <w:rsid w:val="006F6CEF"/>
    <w:rsid w:val="006F706E"/>
    <w:rsid w:val="006F736C"/>
    <w:rsid w:val="0070125A"/>
    <w:rsid w:val="007019B5"/>
    <w:rsid w:val="00701C44"/>
    <w:rsid w:val="00701FB0"/>
    <w:rsid w:val="007035E4"/>
    <w:rsid w:val="00703A54"/>
    <w:rsid w:val="007051C6"/>
    <w:rsid w:val="007065EA"/>
    <w:rsid w:val="00707C85"/>
    <w:rsid w:val="00710656"/>
    <w:rsid w:val="00711E8D"/>
    <w:rsid w:val="0071448F"/>
    <w:rsid w:val="00715186"/>
    <w:rsid w:val="00715B67"/>
    <w:rsid w:val="007170E9"/>
    <w:rsid w:val="00724808"/>
    <w:rsid w:val="00726123"/>
    <w:rsid w:val="00727000"/>
    <w:rsid w:val="00727B66"/>
    <w:rsid w:val="007312DD"/>
    <w:rsid w:val="00731F56"/>
    <w:rsid w:val="007326E7"/>
    <w:rsid w:val="00732A34"/>
    <w:rsid w:val="00733D40"/>
    <w:rsid w:val="00733E86"/>
    <w:rsid w:val="00734304"/>
    <w:rsid w:val="00734522"/>
    <w:rsid w:val="00734591"/>
    <w:rsid w:val="00734AB8"/>
    <w:rsid w:val="00735DCC"/>
    <w:rsid w:val="00737148"/>
    <w:rsid w:val="00737FB6"/>
    <w:rsid w:val="00742C76"/>
    <w:rsid w:val="00743C3B"/>
    <w:rsid w:val="00743E4A"/>
    <w:rsid w:val="00744A0C"/>
    <w:rsid w:val="0074759B"/>
    <w:rsid w:val="007501ED"/>
    <w:rsid w:val="007522EE"/>
    <w:rsid w:val="00754DEE"/>
    <w:rsid w:val="007552F5"/>
    <w:rsid w:val="00755635"/>
    <w:rsid w:val="00755F3F"/>
    <w:rsid w:val="007560A0"/>
    <w:rsid w:val="007565CE"/>
    <w:rsid w:val="00760E08"/>
    <w:rsid w:val="00761829"/>
    <w:rsid w:val="00762258"/>
    <w:rsid w:val="0076374B"/>
    <w:rsid w:val="0076410C"/>
    <w:rsid w:val="0076568E"/>
    <w:rsid w:val="007659A3"/>
    <w:rsid w:val="00765C46"/>
    <w:rsid w:val="00765EF7"/>
    <w:rsid w:val="00766008"/>
    <w:rsid w:val="00767A0E"/>
    <w:rsid w:val="007701FC"/>
    <w:rsid w:val="0077030B"/>
    <w:rsid w:val="00771D79"/>
    <w:rsid w:val="007727A1"/>
    <w:rsid w:val="00772FE1"/>
    <w:rsid w:val="0077429D"/>
    <w:rsid w:val="00774677"/>
    <w:rsid w:val="007753C4"/>
    <w:rsid w:val="0077784C"/>
    <w:rsid w:val="00780A6F"/>
    <w:rsid w:val="007831C0"/>
    <w:rsid w:val="007831F3"/>
    <w:rsid w:val="00783932"/>
    <w:rsid w:val="00785003"/>
    <w:rsid w:val="00785400"/>
    <w:rsid w:val="0078797B"/>
    <w:rsid w:val="007913AB"/>
    <w:rsid w:val="00791732"/>
    <w:rsid w:val="007922F7"/>
    <w:rsid w:val="00794A99"/>
    <w:rsid w:val="0079532E"/>
    <w:rsid w:val="00796C32"/>
    <w:rsid w:val="007A00BB"/>
    <w:rsid w:val="007A0726"/>
    <w:rsid w:val="007A07C2"/>
    <w:rsid w:val="007A13EF"/>
    <w:rsid w:val="007A1D60"/>
    <w:rsid w:val="007A2168"/>
    <w:rsid w:val="007A2C1F"/>
    <w:rsid w:val="007A622E"/>
    <w:rsid w:val="007A661C"/>
    <w:rsid w:val="007A672E"/>
    <w:rsid w:val="007A6E9E"/>
    <w:rsid w:val="007A7BDC"/>
    <w:rsid w:val="007B0F29"/>
    <w:rsid w:val="007B1385"/>
    <w:rsid w:val="007B1D1A"/>
    <w:rsid w:val="007B1F18"/>
    <w:rsid w:val="007B2405"/>
    <w:rsid w:val="007B3DC4"/>
    <w:rsid w:val="007B4663"/>
    <w:rsid w:val="007B5246"/>
    <w:rsid w:val="007B69BB"/>
    <w:rsid w:val="007B7B2D"/>
    <w:rsid w:val="007B7D50"/>
    <w:rsid w:val="007C1059"/>
    <w:rsid w:val="007C2450"/>
    <w:rsid w:val="007C3A99"/>
    <w:rsid w:val="007C4277"/>
    <w:rsid w:val="007C642D"/>
    <w:rsid w:val="007C745A"/>
    <w:rsid w:val="007C7D36"/>
    <w:rsid w:val="007D083F"/>
    <w:rsid w:val="007D1990"/>
    <w:rsid w:val="007E03F7"/>
    <w:rsid w:val="007E1265"/>
    <w:rsid w:val="007E42DC"/>
    <w:rsid w:val="007E4DE5"/>
    <w:rsid w:val="007E53DE"/>
    <w:rsid w:val="007E7D08"/>
    <w:rsid w:val="007F2428"/>
    <w:rsid w:val="007F3610"/>
    <w:rsid w:val="007F471C"/>
    <w:rsid w:val="007F58AD"/>
    <w:rsid w:val="008001AA"/>
    <w:rsid w:val="00800EC3"/>
    <w:rsid w:val="00803079"/>
    <w:rsid w:val="008031E3"/>
    <w:rsid w:val="00805B78"/>
    <w:rsid w:val="00805D45"/>
    <w:rsid w:val="00811BB8"/>
    <w:rsid w:val="00811CB6"/>
    <w:rsid w:val="008124BE"/>
    <w:rsid w:val="00812EF3"/>
    <w:rsid w:val="0081490B"/>
    <w:rsid w:val="0081510B"/>
    <w:rsid w:val="008168BA"/>
    <w:rsid w:val="00817149"/>
    <w:rsid w:val="008174BD"/>
    <w:rsid w:val="00821F6B"/>
    <w:rsid w:val="008227CA"/>
    <w:rsid w:val="00823964"/>
    <w:rsid w:val="00824621"/>
    <w:rsid w:val="00824EC1"/>
    <w:rsid w:val="00825157"/>
    <w:rsid w:val="008258A8"/>
    <w:rsid w:val="00826164"/>
    <w:rsid w:val="0082697D"/>
    <w:rsid w:val="00830577"/>
    <w:rsid w:val="00832FE0"/>
    <w:rsid w:val="008331EA"/>
    <w:rsid w:val="008332B9"/>
    <w:rsid w:val="00833EAD"/>
    <w:rsid w:val="00834CB7"/>
    <w:rsid w:val="00834CD2"/>
    <w:rsid w:val="0083578A"/>
    <w:rsid w:val="008359E0"/>
    <w:rsid w:val="00835D33"/>
    <w:rsid w:val="00840159"/>
    <w:rsid w:val="008407AA"/>
    <w:rsid w:val="00841D16"/>
    <w:rsid w:val="008421AD"/>
    <w:rsid w:val="008439BA"/>
    <w:rsid w:val="00843C84"/>
    <w:rsid w:val="008441FF"/>
    <w:rsid w:val="008449D8"/>
    <w:rsid w:val="00844F5B"/>
    <w:rsid w:val="0084581F"/>
    <w:rsid w:val="00845FEA"/>
    <w:rsid w:val="0084701F"/>
    <w:rsid w:val="0084705A"/>
    <w:rsid w:val="008503C6"/>
    <w:rsid w:val="00850F23"/>
    <w:rsid w:val="00854015"/>
    <w:rsid w:val="0085436D"/>
    <w:rsid w:val="0086011C"/>
    <w:rsid w:val="00862490"/>
    <w:rsid w:val="00862FD3"/>
    <w:rsid w:val="00863AF3"/>
    <w:rsid w:val="00866154"/>
    <w:rsid w:val="0087157F"/>
    <w:rsid w:val="00872C52"/>
    <w:rsid w:val="008765A2"/>
    <w:rsid w:val="00877FD8"/>
    <w:rsid w:val="00880E7A"/>
    <w:rsid w:val="00883485"/>
    <w:rsid w:val="00883DF5"/>
    <w:rsid w:val="0088423F"/>
    <w:rsid w:val="00884B1A"/>
    <w:rsid w:val="00887E80"/>
    <w:rsid w:val="00891130"/>
    <w:rsid w:val="00891196"/>
    <w:rsid w:val="008919AA"/>
    <w:rsid w:val="00894FF2"/>
    <w:rsid w:val="0089522F"/>
    <w:rsid w:val="008962E5"/>
    <w:rsid w:val="00897DB8"/>
    <w:rsid w:val="008A1297"/>
    <w:rsid w:val="008A154D"/>
    <w:rsid w:val="008A2566"/>
    <w:rsid w:val="008A27FA"/>
    <w:rsid w:val="008A2EB0"/>
    <w:rsid w:val="008A3C36"/>
    <w:rsid w:val="008A5DCD"/>
    <w:rsid w:val="008A5FAB"/>
    <w:rsid w:val="008A7C7E"/>
    <w:rsid w:val="008B0171"/>
    <w:rsid w:val="008B0F55"/>
    <w:rsid w:val="008B2C7D"/>
    <w:rsid w:val="008B5A4B"/>
    <w:rsid w:val="008B6DEC"/>
    <w:rsid w:val="008C0831"/>
    <w:rsid w:val="008C0B7B"/>
    <w:rsid w:val="008C1FED"/>
    <w:rsid w:val="008C248A"/>
    <w:rsid w:val="008C2880"/>
    <w:rsid w:val="008C6565"/>
    <w:rsid w:val="008C6C5D"/>
    <w:rsid w:val="008C6C82"/>
    <w:rsid w:val="008C7F61"/>
    <w:rsid w:val="008D08F1"/>
    <w:rsid w:val="008D15B9"/>
    <w:rsid w:val="008D320E"/>
    <w:rsid w:val="008D3E91"/>
    <w:rsid w:val="008D4959"/>
    <w:rsid w:val="008D5DB9"/>
    <w:rsid w:val="008D68D8"/>
    <w:rsid w:val="008D74DC"/>
    <w:rsid w:val="008D78EF"/>
    <w:rsid w:val="008D7B46"/>
    <w:rsid w:val="008E13ED"/>
    <w:rsid w:val="008E20A2"/>
    <w:rsid w:val="008E2374"/>
    <w:rsid w:val="008E3BAD"/>
    <w:rsid w:val="008E65CF"/>
    <w:rsid w:val="008E6857"/>
    <w:rsid w:val="008E6E4A"/>
    <w:rsid w:val="008E6EC3"/>
    <w:rsid w:val="008F179D"/>
    <w:rsid w:val="008F42AE"/>
    <w:rsid w:val="008F646B"/>
    <w:rsid w:val="008F724A"/>
    <w:rsid w:val="008F7EB9"/>
    <w:rsid w:val="00904F07"/>
    <w:rsid w:val="00906232"/>
    <w:rsid w:val="00906A2C"/>
    <w:rsid w:val="00911067"/>
    <w:rsid w:val="009116C8"/>
    <w:rsid w:val="009120BA"/>
    <w:rsid w:val="0091286C"/>
    <w:rsid w:val="0091419F"/>
    <w:rsid w:val="0091492A"/>
    <w:rsid w:val="00921C63"/>
    <w:rsid w:val="00921E37"/>
    <w:rsid w:val="00922351"/>
    <w:rsid w:val="0092431C"/>
    <w:rsid w:val="00926EC1"/>
    <w:rsid w:val="00932F3F"/>
    <w:rsid w:val="00933DFA"/>
    <w:rsid w:val="00935A84"/>
    <w:rsid w:val="00936459"/>
    <w:rsid w:val="00937292"/>
    <w:rsid w:val="0093779E"/>
    <w:rsid w:val="00940AC0"/>
    <w:rsid w:val="00941291"/>
    <w:rsid w:val="00942ADB"/>
    <w:rsid w:val="009449D6"/>
    <w:rsid w:val="009463ED"/>
    <w:rsid w:val="00946A8B"/>
    <w:rsid w:val="00946D0F"/>
    <w:rsid w:val="00946E29"/>
    <w:rsid w:val="00950A94"/>
    <w:rsid w:val="0095199B"/>
    <w:rsid w:val="00952345"/>
    <w:rsid w:val="00954729"/>
    <w:rsid w:val="0095664C"/>
    <w:rsid w:val="00956735"/>
    <w:rsid w:val="00956D80"/>
    <w:rsid w:val="009618DD"/>
    <w:rsid w:val="00961F38"/>
    <w:rsid w:val="009626D1"/>
    <w:rsid w:val="00962883"/>
    <w:rsid w:val="00964741"/>
    <w:rsid w:val="009652C5"/>
    <w:rsid w:val="0096622A"/>
    <w:rsid w:val="0097053C"/>
    <w:rsid w:val="009708A1"/>
    <w:rsid w:val="00974508"/>
    <w:rsid w:val="00974AD1"/>
    <w:rsid w:val="00974B62"/>
    <w:rsid w:val="0098057A"/>
    <w:rsid w:val="009814B8"/>
    <w:rsid w:val="00981685"/>
    <w:rsid w:val="009824AB"/>
    <w:rsid w:val="009826D8"/>
    <w:rsid w:val="00982E17"/>
    <w:rsid w:val="00983F99"/>
    <w:rsid w:val="00984B5D"/>
    <w:rsid w:val="00984BBC"/>
    <w:rsid w:val="009854E5"/>
    <w:rsid w:val="00985D04"/>
    <w:rsid w:val="0098609C"/>
    <w:rsid w:val="0098717D"/>
    <w:rsid w:val="009927D9"/>
    <w:rsid w:val="00993585"/>
    <w:rsid w:val="00993A78"/>
    <w:rsid w:val="009955E0"/>
    <w:rsid w:val="009A2938"/>
    <w:rsid w:val="009A2D58"/>
    <w:rsid w:val="009A3A86"/>
    <w:rsid w:val="009A4CA4"/>
    <w:rsid w:val="009A539B"/>
    <w:rsid w:val="009A5B86"/>
    <w:rsid w:val="009A6A48"/>
    <w:rsid w:val="009B2624"/>
    <w:rsid w:val="009B2A84"/>
    <w:rsid w:val="009B39E6"/>
    <w:rsid w:val="009B49CD"/>
    <w:rsid w:val="009B4D7B"/>
    <w:rsid w:val="009B547E"/>
    <w:rsid w:val="009B64F0"/>
    <w:rsid w:val="009B69C6"/>
    <w:rsid w:val="009B75AF"/>
    <w:rsid w:val="009B77D4"/>
    <w:rsid w:val="009B7962"/>
    <w:rsid w:val="009B7E7A"/>
    <w:rsid w:val="009C0BCB"/>
    <w:rsid w:val="009C0CD4"/>
    <w:rsid w:val="009C171F"/>
    <w:rsid w:val="009C1AD4"/>
    <w:rsid w:val="009C3190"/>
    <w:rsid w:val="009C3F21"/>
    <w:rsid w:val="009C6889"/>
    <w:rsid w:val="009C7FEE"/>
    <w:rsid w:val="009D018C"/>
    <w:rsid w:val="009D01EB"/>
    <w:rsid w:val="009D022F"/>
    <w:rsid w:val="009D0C6D"/>
    <w:rsid w:val="009D10D9"/>
    <w:rsid w:val="009D11DE"/>
    <w:rsid w:val="009D17E9"/>
    <w:rsid w:val="009D27FA"/>
    <w:rsid w:val="009D2B2C"/>
    <w:rsid w:val="009D3441"/>
    <w:rsid w:val="009D358C"/>
    <w:rsid w:val="009D5F0B"/>
    <w:rsid w:val="009D793B"/>
    <w:rsid w:val="009E0A3A"/>
    <w:rsid w:val="009E2128"/>
    <w:rsid w:val="009E3B8B"/>
    <w:rsid w:val="009E4238"/>
    <w:rsid w:val="009E4EDA"/>
    <w:rsid w:val="009F0A3E"/>
    <w:rsid w:val="009F153E"/>
    <w:rsid w:val="009F214E"/>
    <w:rsid w:val="009F2274"/>
    <w:rsid w:val="009F2CD0"/>
    <w:rsid w:val="009F2F70"/>
    <w:rsid w:val="009F47BC"/>
    <w:rsid w:val="009F4FB1"/>
    <w:rsid w:val="009F602D"/>
    <w:rsid w:val="009F616C"/>
    <w:rsid w:val="00A00ACB"/>
    <w:rsid w:val="00A022C5"/>
    <w:rsid w:val="00A02863"/>
    <w:rsid w:val="00A0419A"/>
    <w:rsid w:val="00A05108"/>
    <w:rsid w:val="00A07B99"/>
    <w:rsid w:val="00A116D3"/>
    <w:rsid w:val="00A1220E"/>
    <w:rsid w:val="00A13932"/>
    <w:rsid w:val="00A14CF6"/>
    <w:rsid w:val="00A17E84"/>
    <w:rsid w:val="00A2043C"/>
    <w:rsid w:val="00A2047B"/>
    <w:rsid w:val="00A20A96"/>
    <w:rsid w:val="00A217C9"/>
    <w:rsid w:val="00A2194A"/>
    <w:rsid w:val="00A23F64"/>
    <w:rsid w:val="00A24272"/>
    <w:rsid w:val="00A24458"/>
    <w:rsid w:val="00A2464B"/>
    <w:rsid w:val="00A2613A"/>
    <w:rsid w:val="00A27055"/>
    <w:rsid w:val="00A27727"/>
    <w:rsid w:val="00A31D8B"/>
    <w:rsid w:val="00A321AE"/>
    <w:rsid w:val="00A32CA6"/>
    <w:rsid w:val="00A33C8E"/>
    <w:rsid w:val="00A35A53"/>
    <w:rsid w:val="00A35B45"/>
    <w:rsid w:val="00A36436"/>
    <w:rsid w:val="00A36B44"/>
    <w:rsid w:val="00A40284"/>
    <w:rsid w:val="00A41939"/>
    <w:rsid w:val="00A42B7A"/>
    <w:rsid w:val="00A44029"/>
    <w:rsid w:val="00A520EB"/>
    <w:rsid w:val="00A53684"/>
    <w:rsid w:val="00A53C7C"/>
    <w:rsid w:val="00A53D5C"/>
    <w:rsid w:val="00A541FB"/>
    <w:rsid w:val="00A54250"/>
    <w:rsid w:val="00A544DE"/>
    <w:rsid w:val="00A575FF"/>
    <w:rsid w:val="00A605D4"/>
    <w:rsid w:val="00A615D7"/>
    <w:rsid w:val="00A61A1E"/>
    <w:rsid w:val="00A62C0E"/>
    <w:rsid w:val="00A62C70"/>
    <w:rsid w:val="00A62ED3"/>
    <w:rsid w:val="00A64853"/>
    <w:rsid w:val="00A67489"/>
    <w:rsid w:val="00A702B1"/>
    <w:rsid w:val="00A70623"/>
    <w:rsid w:val="00A70767"/>
    <w:rsid w:val="00A72B9B"/>
    <w:rsid w:val="00A737E4"/>
    <w:rsid w:val="00A73B66"/>
    <w:rsid w:val="00A76FE4"/>
    <w:rsid w:val="00A83652"/>
    <w:rsid w:val="00A8451E"/>
    <w:rsid w:val="00A84B51"/>
    <w:rsid w:val="00A85661"/>
    <w:rsid w:val="00A8790E"/>
    <w:rsid w:val="00A9072D"/>
    <w:rsid w:val="00A923A2"/>
    <w:rsid w:val="00A9474C"/>
    <w:rsid w:val="00A9671D"/>
    <w:rsid w:val="00AA02CA"/>
    <w:rsid w:val="00AA1E8D"/>
    <w:rsid w:val="00AA227D"/>
    <w:rsid w:val="00AA353A"/>
    <w:rsid w:val="00AA36B9"/>
    <w:rsid w:val="00AA4891"/>
    <w:rsid w:val="00AA4C05"/>
    <w:rsid w:val="00AA57A9"/>
    <w:rsid w:val="00AA5B42"/>
    <w:rsid w:val="00AA71BF"/>
    <w:rsid w:val="00AB1243"/>
    <w:rsid w:val="00AB190D"/>
    <w:rsid w:val="00AB283A"/>
    <w:rsid w:val="00AB4C89"/>
    <w:rsid w:val="00AB5161"/>
    <w:rsid w:val="00AC06C6"/>
    <w:rsid w:val="00AC255A"/>
    <w:rsid w:val="00AC5E19"/>
    <w:rsid w:val="00AC6371"/>
    <w:rsid w:val="00AC6F66"/>
    <w:rsid w:val="00AD0DA9"/>
    <w:rsid w:val="00AD0FD8"/>
    <w:rsid w:val="00AD526A"/>
    <w:rsid w:val="00AD5C7B"/>
    <w:rsid w:val="00AD6309"/>
    <w:rsid w:val="00AE26B0"/>
    <w:rsid w:val="00AE4B02"/>
    <w:rsid w:val="00AF3F92"/>
    <w:rsid w:val="00AF4AF4"/>
    <w:rsid w:val="00AF6371"/>
    <w:rsid w:val="00AF6C68"/>
    <w:rsid w:val="00AF7FFC"/>
    <w:rsid w:val="00B03B6A"/>
    <w:rsid w:val="00B113E0"/>
    <w:rsid w:val="00B11696"/>
    <w:rsid w:val="00B11C08"/>
    <w:rsid w:val="00B122B2"/>
    <w:rsid w:val="00B146CC"/>
    <w:rsid w:val="00B15536"/>
    <w:rsid w:val="00B15AB0"/>
    <w:rsid w:val="00B21260"/>
    <w:rsid w:val="00B226B7"/>
    <w:rsid w:val="00B2476F"/>
    <w:rsid w:val="00B27022"/>
    <w:rsid w:val="00B30265"/>
    <w:rsid w:val="00B30409"/>
    <w:rsid w:val="00B32563"/>
    <w:rsid w:val="00B341A9"/>
    <w:rsid w:val="00B350AB"/>
    <w:rsid w:val="00B352F4"/>
    <w:rsid w:val="00B3768B"/>
    <w:rsid w:val="00B377A3"/>
    <w:rsid w:val="00B4351F"/>
    <w:rsid w:val="00B43C1A"/>
    <w:rsid w:val="00B4414F"/>
    <w:rsid w:val="00B45905"/>
    <w:rsid w:val="00B45B69"/>
    <w:rsid w:val="00B46095"/>
    <w:rsid w:val="00B533AE"/>
    <w:rsid w:val="00B56387"/>
    <w:rsid w:val="00B56AB6"/>
    <w:rsid w:val="00B61521"/>
    <w:rsid w:val="00B629E8"/>
    <w:rsid w:val="00B631CF"/>
    <w:rsid w:val="00B6406A"/>
    <w:rsid w:val="00B649C7"/>
    <w:rsid w:val="00B6502E"/>
    <w:rsid w:val="00B7051A"/>
    <w:rsid w:val="00B71125"/>
    <w:rsid w:val="00B713E1"/>
    <w:rsid w:val="00B72500"/>
    <w:rsid w:val="00B731EC"/>
    <w:rsid w:val="00B74424"/>
    <w:rsid w:val="00B746F9"/>
    <w:rsid w:val="00B75C15"/>
    <w:rsid w:val="00B76B5D"/>
    <w:rsid w:val="00B779BA"/>
    <w:rsid w:val="00B77A02"/>
    <w:rsid w:val="00B802F3"/>
    <w:rsid w:val="00B821C6"/>
    <w:rsid w:val="00B82B55"/>
    <w:rsid w:val="00B85349"/>
    <w:rsid w:val="00B85A92"/>
    <w:rsid w:val="00B86694"/>
    <w:rsid w:val="00B90129"/>
    <w:rsid w:val="00B90254"/>
    <w:rsid w:val="00B92B66"/>
    <w:rsid w:val="00B930F1"/>
    <w:rsid w:val="00B97258"/>
    <w:rsid w:val="00B97AC0"/>
    <w:rsid w:val="00BA3AB8"/>
    <w:rsid w:val="00BA3D05"/>
    <w:rsid w:val="00BA40EC"/>
    <w:rsid w:val="00BA5DF1"/>
    <w:rsid w:val="00BA6022"/>
    <w:rsid w:val="00BB2A73"/>
    <w:rsid w:val="00BB3274"/>
    <w:rsid w:val="00BB3D70"/>
    <w:rsid w:val="00BB5802"/>
    <w:rsid w:val="00BB5D1A"/>
    <w:rsid w:val="00BB76E2"/>
    <w:rsid w:val="00BC01C7"/>
    <w:rsid w:val="00BC0977"/>
    <w:rsid w:val="00BD1874"/>
    <w:rsid w:val="00BD1877"/>
    <w:rsid w:val="00BD1A8D"/>
    <w:rsid w:val="00BD23AC"/>
    <w:rsid w:val="00BD2AD8"/>
    <w:rsid w:val="00BD482F"/>
    <w:rsid w:val="00BD483B"/>
    <w:rsid w:val="00BD6AA3"/>
    <w:rsid w:val="00BD6BB6"/>
    <w:rsid w:val="00BE1FDA"/>
    <w:rsid w:val="00BE262D"/>
    <w:rsid w:val="00BE2970"/>
    <w:rsid w:val="00BE2E40"/>
    <w:rsid w:val="00BE3BBB"/>
    <w:rsid w:val="00BE4BE5"/>
    <w:rsid w:val="00BE6EC1"/>
    <w:rsid w:val="00BE7B50"/>
    <w:rsid w:val="00BF05F4"/>
    <w:rsid w:val="00BF462B"/>
    <w:rsid w:val="00BF4C02"/>
    <w:rsid w:val="00BF5FDC"/>
    <w:rsid w:val="00C006B2"/>
    <w:rsid w:val="00C00DEF"/>
    <w:rsid w:val="00C01EB4"/>
    <w:rsid w:val="00C02521"/>
    <w:rsid w:val="00C03AE2"/>
    <w:rsid w:val="00C040C6"/>
    <w:rsid w:val="00C052EB"/>
    <w:rsid w:val="00C05458"/>
    <w:rsid w:val="00C06552"/>
    <w:rsid w:val="00C06FDF"/>
    <w:rsid w:val="00C07636"/>
    <w:rsid w:val="00C07F4E"/>
    <w:rsid w:val="00C10E0C"/>
    <w:rsid w:val="00C112A3"/>
    <w:rsid w:val="00C115D8"/>
    <w:rsid w:val="00C14912"/>
    <w:rsid w:val="00C15253"/>
    <w:rsid w:val="00C15901"/>
    <w:rsid w:val="00C15BEA"/>
    <w:rsid w:val="00C16235"/>
    <w:rsid w:val="00C17EDD"/>
    <w:rsid w:val="00C2097D"/>
    <w:rsid w:val="00C2146F"/>
    <w:rsid w:val="00C216E7"/>
    <w:rsid w:val="00C22B7D"/>
    <w:rsid w:val="00C24DEF"/>
    <w:rsid w:val="00C25776"/>
    <w:rsid w:val="00C26EA0"/>
    <w:rsid w:val="00C30282"/>
    <w:rsid w:val="00C315E8"/>
    <w:rsid w:val="00C31A8F"/>
    <w:rsid w:val="00C31F0B"/>
    <w:rsid w:val="00C32E29"/>
    <w:rsid w:val="00C35E16"/>
    <w:rsid w:val="00C37072"/>
    <w:rsid w:val="00C41816"/>
    <w:rsid w:val="00C4214C"/>
    <w:rsid w:val="00C42411"/>
    <w:rsid w:val="00C42A28"/>
    <w:rsid w:val="00C43614"/>
    <w:rsid w:val="00C4488A"/>
    <w:rsid w:val="00C45392"/>
    <w:rsid w:val="00C45983"/>
    <w:rsid w:val="00C459FF"/>
    <w:rsid w:val="00C4611D"/>
    <w:rsid w:val="00C4679D"/>
    <w:rsid w:val="00C47893"/>
    <w:rsid w:val="00C5376C"/>
    <w:rsid w:val="00C549E3"/>
    <w:rsid w:val="00C55D39"/>
    <w:rsid w:val="00C574B2"/>
    <w:rsid w:val="00C576D8"/>
    <w:rsid w:val="00C57BF4"/>
    <w:rsid w:val="00C57FEB"/>
    <w:rsid w:val="00C60CE8"/>
    <w:rsid w:val="00C610EB"/>
    <w:rsid w:val="00C625B1"/>
    <w:rsid w:val="00C62C32"/>
    <w:rsid w:val="00C63610"/>
    <w:rsid w:val="00C64626"/>
    <w:rsid w:val="00C64DD4"/>
    <w:rsid w:val="00C651C7"/>
    <w:rsid w:val="00C66261"/>
    <w:rsid w:val="00C7061B"/>
    <w:rsid w:val="00C70AE8"/>
    <w:rsid w:val="00C71577"/>
    <w:rsid w:val="00C7263C"/>
    <w:rsid w:val="00C7377D"/>
    <w:rsid w:val="00C7398A"/>
    <w:rsid w:val="00C740DD"/>
    <w:rsid w:val="00C75A62"/>
    <w:rsid w:val="00C778E1"/>
    <w:rsid w:val="00C80967"/>
    <w:rsid w:val="00C80B53"/>
    <w:rsid w:val="00C82A1E"/>
    <w:rsid w:val="00C82A82"/>
    <w:rsid w:val="00C84A49"/>
    <w:rsid w:val="00C85935"/>
    <w:rsid w:val="00C86341"/>
    <w:rsid w:val="00C87154"/>
    <w:rsid w:val="00C87513"/>
    <w:rsid w:val="00C87E82"/>
    <w:rsid w:val="00C90FCA"/>
    <w:rsid w:val="00C9172F"/>
    <w:rsid w:val="00C9189E"/>
    <w:rsid w:val="00C928EF"/>
    <w:rsid w:val="00C96679"/>
    <w:rsid w:val="00C97586"/>
    <w:rsid w:val="00C97707"/>
    <w:rsid w:val="00CA19CF"/>
    <w:rsid w:val="00CA31E0"/>
    <w:rsid w:val="00CA38A7"/>
    <w:rsid w:val="00CA3CA2"/>
    <w:rsid w:val="00CA3F5B"/>
    <w:rsid w:val="00CA6404"/>
    <w:rsid w:val="00CA72DA"/>
    <w:rsid w:val="00CB021D"/>
    <w:rsid w:val="00CB2087"/>
    <w:rsid w:val="00CB29F8"/>
    <w:rsid w:val="00CB3614"/>
    <w:rsid w:val="00CB374F"/>
    <w:rsid w:val="00CB43BE"/>
    <w:rsid w:val="00CB5D0F"/>
    <w:rsid w:val="00CB749E"/>
    <w:rsid w:val="00CC0A79"/>
    <w:rsid w:val="00CC1481"/>
    <w:rsid w:val="00CC3289"/>
    <w:rsid w:val="00CC4E24"/>
    <w:rsid w:val="00CD08C6"/>
    <w:rsid w:val="00CD0D4C"/>
    <w:rsid w:val="00CD249E"/>
    <w:rsid w:val="00CD4F89"/>
    <w:rsid w:val="00CD50C9"/>
    <w:rsid w:val="00CD73F3"/>
    <w:rsid w:val="00CD7712"/>
    <w:rsid w:val="00CD79A1"/>
    <w:rsid w:val="00CE0A96"/>
    <w:rsid w:val="00CE0B50"/>
    <w:rsid w:val="00CE15FE"/>
    <w:rsid w:val="00CE21BB"/>
    <w:rsid w:val="00CE3B74"/>
    <w:rsid w:val="00CE64AD"/>
    <w:rsid w:val="00CE6BF3"/>
    <w:rsid w:val="00CE7E48"/>
    <w:rsid w:val="00CF1252"/>
    <w:rsid w:val="00CF2D74"/>
    <w:rsid w:val="00CF2EF3"/>
    <w:rsid w:val="00CF348A"/>
    <w:rsid w:val="00CF5B3E"/>
    <w:rsid w:val="00CF7341"/>
    <w:rsid w:val="00CF7542"/>
    <w:rsid w:val="00D0043A"/>
    <w:rsid w:val="00D02CF0"/>
    <w:rsid w:val="00D0385E"/>
    <w:rsid w:val="00D06F07"/>
    <w:rsid w:val="00D07AD7"/>
    <w:rsid w:val="00D11208"/>
    <w:rsid w:val="00D12DF0"/>
    <w:rsid w:val="00D153E0"/>
    <w:rsid w:val="00D17ECB"/>
    <w:rsid w:val="00D2043D"/>
    <w:rsid w:val="00D212AC"/>
    <w:rsid w:val="00D216EB"/>
    <w:rsid w:val="00D218CD"/>
    <w:rsid w:val="00D23CD3"/>
    <w:rsid w:val="00D23FD0"/>
    <w:rsid w:val="00D245EA"/>
    <w:rsid w:val="00D25F1C"/>
    <w:rsid w:val="00D27386"/>
    <w:rsid w:val="00D27E11"/>
    <w:rsid w:val="00D30C1F"/>
    <w:rsid w:val="00D3161C"/>
    <w:rsid w:val="00D3403A"/>
    <w:rsid w:val="00D3469B"/>
    <w:rsid w:val="00D352B7"/>
    <w:rsid w:val="00D37E46"/>
    <w:rsid w:val="00D40014"/>
    <w:rsid w:val="00D41CE3"/>
    <w:rsid w:val="00D41D7E"/>
    <w:rsid w:val="00D43330"/>
    <w:rsid w:val="00D43F56"/>
    <w:rsid w:val="00D517C9"/>
    <w:rsid w:val="00D52A19"/>
    <w:rsid w:val="00D52B6C"/>
    <w:rsid w:val="00D55611"/>
    <w:rsid w:val="00D56543"/>
    <w:rsid w:val="00D57247"/>
    <w:rsid w:val="00D609B9"/>
    <w:rsid w:val="00D60ABC"/>
    <w:rsid w:val="00D60B65"/>
    <w:rsid w:val="00D6150C"/>
    <w:rsid w:val="00D625BF"/>
    <w:rsid w:val="00D6262E"/>
    <w:rsid w:val="00D63D2A"/>
    <w:rsid w:val="00D64BC7"/>
    <w:rsid w:val="00D65FC5"/>
    <w:rsid w:val="00D676C5"/>
    <w:rsid w:val="00D71D23"/>
    <w:rsid w:val="00D732D5"/>
    <w:rsid w:val="00D73CA0"/>
    <w:rsid w:val="00D73D1D"/>
    <w:rsid w:val="00D76495"/>
    <w:rsid w:val="00D80EB4"/>
    <w:rsid w:val="00D81E8E"/>
    <w:rsid w:val="00D82C90"/>
    <w:rsid w:val="00D830E5"/>
    <w:rsid w:val="00D8371F"/>
    <w:rsid w:val="00D84305"/>
    <w:rsid w:val="00D84C64"/>
    <w:rsid w:val="00D8623A"/>
    <w:rsid w:val="00D86ECD"/>
    <w:rsid w:val="00D876B9"/>
    <w:rsid w:val="00D93CDB"/>
    <w:rsid w:val="00D93D87"/>
    <w:rsid w:val="00D94A3E"/>
    <w:rsid w:val="00D970A2"/>
    <w:rsid w:val="00DA130A"/>
    <w:rsid w:val="00DA17A8"/>
    <w:rsid w:val="00DA18A6"/>
    <w:rsid w:val="00DA1BAE"/>
    <w:rsid w:val="00DA3E37"/>
    <w:rsid w:val="00DA6BCB"/>
    <w:rsid w:val="00DB0374"/>
    <w:rsid w:val="00DB07BD"/>
    <w:rsid w:val="00DB1379"/>
    <w:rsid w:val="00DB27DE"/>
    <w:rsid w:val="00DB2A98"/>
    <w:rsid w:val="00DB393D"/>
    <w:rsid w:val="00DB3A59"/>
    <w:rsid w:val="00DB49ED"/>
    <w:rsid w:val="00DB4AB0"/>
    <w:rsid w:val="00DB4B51"/>
    <w:rsid w:val="00DB573E"/>
    <w:rsid w:val="00DB66C9"/>
    <w:rsid w:val="00DB6D99"/>
    <w:rsid w:val="00DC258F"/>
    <w:rsid w:val="00DC38DB"/>
    <w:rsid w:val="00DC3B42"/>
    <w:rsid w:val="00DC4372"/>
    <w:rsid w:val="00DC51F1"/>
    <w:rsid w:val="00DC5AA2"/>
    <w:rsid w:val="00DC5D65"/>
    <w:rsid w:val="00DC7861"/>
    <w:rsid w:val="00DD1146"/>
    <w:rsid w:val="00DD2013"/>
    <w:rsid w:val="00DD27BA"/>
    <w:rsid w:val="00DD549C"/>
    <w:rsid w:val="00DD7628"/>
    <w:rsid w:val="00DE007A"/>
    <w:rsid w:val="00DE32B0"/>
    <w:rsid w:val="00DE3A8A"/>
    <w:rsid w:val="00DE439E"/>
    <w:rsid w:val="00DE4473"/>
    <w:rsid w:val="00DE66D4"/>
    <w:rsid w:val="00DF0D3D"/>
    <w:rsid w:val="00DF3026"/>
    <w:rsid w:val="00DF3A03"/>
    <w:rsid w:val="00DF4687"/>
    <w:rsid w:val="00DF4FD2"/>
    <w:rsid w:val="00DF6292"/>
    <w:rsid w:val="00DF7BD8"/>
    <w:rsid w:val="00E01125"/>
    <w:rsid w:val="00E02410"/>
    <w:rsid w:val="00E0303B"/>
    <w:rsid w:val="00E0394D"/>
    <w:rsid w:val="00E03FEB"/>
    <w:rsid w:val="00E06C6E"/>
    <w:rsid w:val="00E07AEC"/>
    <w:rsid w:val="00E11ABB"/>
    <w:rsid w:val="00E11EF4"/>
    <w:rsid w:val="00E12695"/>
    <w:rsid w:val="00E12B2E"/>
    <w:rsid w:val="00E12D1C"/>
    <w:rsid w:val="00E13C9E"/>
    <w:rsid w:val="00E13E1A"/>
    <w:rsid w:val="00E13F45"/>
    <w:rsid w:val="00E14A49"/>
    <w:rsid w:val="00E151BD"/>
    <w:rsid w:val="00E17848"/>
    <w:rsid w:val="00E17F40"/>
    <w:rsid w:val="00E221A7"/>
    <w:rsid w:val="00E232F7"/>
    <w:rsid w:val="00E23AF3"/>
    <w:rsid w:val="00E23E33"/>
    <w:rsid w:val="00E31041"/>
    <w:rsid w:val="00E310C9"/>
    <w:rsid w:val="00E320AB"/>
    <w:rsid w:val="00E32E44"/>
    <w:rsid w:val="00E33ABF"/>
    <w:rsid w:val="00E3410F"/>
    <w:rsid w:val="00E34387"/>
    <w:rsid w:val="00E35051"/>
    <w:rsid w:val="00E425A1"/>
    <w:rsid w:val="00E42746"/>
    <w:rsid w:val="00E43272"/>
    <w:rsid w:val="00E432D1"/>
    <w:rsid w:val="00E4499F"/>
    <w:rsid w:val="00E449A9"/>
    <w:rsid w:val="00E44BF2"/>
    <w:rsid w:val="00E45F80"/>
    <w:rsid w:val="00E46BF5"/>
    <w:rsid w:val="00E509DA"/>
    <w:rsid w:val="00E51431"/>
    <w:rsid w:val="00E516CD"/>
    <w:rsid w:val="00E54F84"/>
    <w:rsid w:val="00E55198"/>
    <w:rsid w:val="00E55ABE"/>
    <w:rsid w:val="00E603A8"/>
    <w:rsid w:val="00E62A9F"/>
    <w:rsid w:val="00E675AA"/>
    <w:rsid w:val="00E676AC"/>
    <w:rsid w:val="00E67998"/>
    <w:rsid w:val="00E67B13"/>
    <w:rsid w:val="00E70CE1"/>
    <w:rsid w:val="00E710E3"/>
    <w:rsid w:val="00E71D3B"/>
    <w:rsid w:val="00E73F28"/>
    <w:rsid w:val="00E74425"/>
    <w:rsid w:val="00E74BB5"/>
    <w:rsid w:val="00E75927"/>
    <w:rsid w:val="00E75AE5"/>
    <w:rsid w:val="00E76DCA"/>
    <w:rsid w:val="00E776D2"/>
    <w:rsid w:val="00E77B1F"/>
    <w:rsid w:val="00E8006F"/>
    <w:rsid w:val="00E80280"/>
    <w:rsid w:val="00E804DA"/>
    <w:rsid w:val="00E81589"/>
    <w:rsid w:val="00E815C5"/>
    <w:rsid w:val="00E81F31"/>
    <w:rsid w:val="00E83D69"/>
    <w:rsid w:val="00E86BF9"/>
    <w:rsid w:val="00E925DA"/>
    <w:rsid w:val="00E930F4"/>
    <w:rsid w:val="00E93908"/>
    <w:rsid w:val="00E94A81"/>
    <w:rsid w:val="00E95F21"/>
    <w:rsid w:val="00E96ABE"/>
    <w:rsid w:val="00EA05A6"/>
    <w:rsid w:val="00EA0D37"/>
    <w:rsid w:val="00EA4148"/>
    <w:rsid w:val="00EA51C0"/>
    <w:rsid w:val="00EB1055"/>
    <w:rsid w:val="00EB1CEA"/>
    <w:rsid w:val="00EB2B22"/>
    <w:rsid w:val="00EB53C8"/>
    <w:rsid w:val="00EB644B"/>
    <w:rsid w:val="00EB6468"/>
    <w:rsid w:val="00EB6DE3"/>
    <w:rsid w:val="00EC0A66"/>
    <w:rsid w:val="00EC1E23"/>
    <w:rsid w:val="00EC241C"/>
    <w:rsid w:val="00EC3C19"/>
    <w:rsid w:val="00EC6250"/>
    <w:rsid w:val="00EC76EC"/>
    <w:rsid w:val="00EC7BA3"/>
    <w:rsid w:val="00ED3F6A"/>
    <w:rsid w:val="00ED616A"/>
    <w:rsid w:val="00ED703B"/>
    <w:rsid w:val="00ED74E7"/>
    <w:rsid w:val="00EE07BE"/>
    <w:rsid w:val="00EE178E"/>
    <w:rsid w:val="00EE2167"/>
    <w:rsid w:val="00EE2B72"/>
    <w:rsid w:val="00EE3F94"/>
    <w:rsid w:val="00EE51F3"/>
    <w:rsid w:val="00EE5C48"/>
    <w:rsid w:val="00EE659C"/>
    <w:rsid w:val="00EE6967"/>
    <w:rsid w:val="00EE7A73"/>
    <w:rsid w:val="00EF10D0"/>
    <w:rsid w:val="00EF12C4"/>
    <w:rsid w:val="00EF27DC"/>
    <w:rsid w:val="00EF2E73"/>
    <w:rsid w:val="00EF3030"/>
    <w:rsid w:val="00EF34C5"/>
    <w:rsid w:val="00EF3CC3"/>
    <w:rsid w:val="00EF4EB3"/>
    <w:rsid w:val="00EF7128"/>
    <w:rsid w:val="00EF7F30"/>
    <w:rsid w:val="00F01874"/>
    <w:rsid w:val="00F0216F"/>
    <w:rsid w:val="00F05DA3"/>
    <w:rsid w:val="00F06DCB"/>
    <w:rsid w:val="00F070A8"/>
    <w:rsid w:val="00F10D6E"/>
    <w:rsid w:val="00F13B4D"/>
    <w:rsid w:val="00F13C08"/>
    <w:rsid w:val="00F1518F"/>
    <w:rsid w:val="00F16320"/>
    <w:rsid w:val="00F1695F"/>
    <w:rsid w:val="00F17783"/>
    <w:rsid w:val="00F17EDE"/>
    <w:rsid w:val="00F22D02"/>
    <w:rsid w:val="00F236A0"/>
    <w:rsid w:val="00F24FB8"/>
    <w:rsid w:val="00F251D2"/>
    <w:rsid w:val="00F26658"/>
    <w:rsid w:val="00F26E2B"/>
    <w:rsid w:val="00F3131E"/>
    <w:rsid w:val="00F3290B"/>
    <w:rsid w:val="00F34091"/>
    <w:rsid w:val="00F34E14"/>
    <w:rsid w:val="00F35054"/>
    <w:rsid w:val="00F35870"/>
    <w:rsid w:val="00F35E32"/>
    <w:rsid w:val="00F36BBC"/>
    <w:rsid w:val="00F3750A"/>
    <w:rsid w:val="00F37F80"/>
    <w:rsid w:val="00F400D7"/>
    <w:rsid w:val="00F41334"/>
    <w:rsid w:val="00F41CE0"/>
    <w:rsid w:val="00F44DC9"/>
    <w:rsid w:val="00F45447"/>
    <w:rsid w:val="00F46548"/>
    <w:rsid w:val="00F5195D"/>
    <w:rsid w:val="00F51A7C"/>
    <w:rsid w:val="00F51B79"/>
    <w:rsid w:val="00F52967"/>
    <w:rsid w:val="00F53CA0"/>
    <w:rsid w:val="00F54067"/>
    <w:rsid w:val="00F54105"/>
    <w:rsid w:val="00F551A4"/>
    <w:rsid w:val="00F5626F"/>
    <w:rsid w:val="00F56FCC"/>
    <w:rsid w:val="00F61462"/>
    <w:rsid w:val="00F61A6F"/>
    <w:rsid w:val="00F62703"/>
    <w:rsid w:val="00F64055"/>
    <w:rsid w:val="00F6488B"/>
    <w:rsid w:val="00F6575A"/>
    <w:rsid w:val="00F67CEF"/>
    <w:rsid w:val="00F7016B"/>
    <w:rsid w:val="00F7116A"/>
    <w:rsid w:val="00F712B7"/>
    <w:rsid w:val="00F7194C"/>
    <w:rsid w:val="00F72B74"/>
    <w:rsid w:val="00F7353A"/>
    <w:rsid w:val="00F770D0"/>
    <w:rsid w:val="00F7769A"/>
    <w:rsid w:val="00F7791F"/>
    <w:rsid w:val="00F77AA6"/>
    <w:rsid w:val="00F77D02"/>
    <w:rsid w:val="00F806DB"/>
    <w:rsid w:val="00F81710"/>
    <w:rsid w:val="00F81E9E"/>
    <w:rsid w:val="00F82B90"/>
    <w:rsid w:val="00F83492"/>
    <w:rsid w:val="00F835ED"/>
    <w:rsid w:val="00F83867"/>
    <w:rsid w:val="00F85170"/>
    <w:rsid w:val="00F861C4"/>
    <w:rsid w:val="00F917C6"/>
    <w:rsid w:val="00F91B55"/>
    <w:rsid w:val="00F92E8B"/>
    <w:rsid w:val="00F938C5"/>
    <w:rsid w:val="00F95AE9"/>
    <w:rsid w:val="00F965C0"/>
    <w:rsid w:val="00F96629"/>
    <w:rsid w:val="00F97AFD"/>
    <w:rsid w:val="00FA0652"/>
    <w:rsid w:val="00FA0CB7"/>
    <w:rsid w:val="00FA29D7"/>
    <w:rsid w:val="00FA2EED"/>
    <w:rsid w:val="00FA2F98"/>
    <w:rsid w:val="00FA4462"/>
    <w:rsid w:val="00FA4719"/>
    <w:rsid w:val="00FA622E"/>
    <w:rsid w:val="00FA6CD3"/>
    <w:rsid w:val="00FA76DF"/>
    <w:rsid w:val="00FB1AAB"/>
    <w:rsid w:val="00FB2A96"/>
    <w:rsid w:val="00FB3F0E"/>
    <w:rsid w:val="00FB433B"/>
    <w:rsid w:val="00FB459F"/>
    <w:rsid w:val="00FB4623"/>
    <w:rsid w:val="00FB52C9"/>
    <w:rsid w:val="00FB682A"/>
    <w:rsid w:val="00FB7225"/>
    <w:rsid w:val="00FC12F3"/>
    <w:rsid w:val="00FC2A2B"/>
    <w:rsid w:val="00FC50D7"/>
    <w:rsid w:val="00FC55E2"/>
    <w:rsid w:val="00FC68AE"/>
    <w:rsid w:val="00FC6D66"/>
    <w:rsid w:val="00FC6F3E"/>
    <w:rsid w:val="00FC7B67"/>
    <w:rsid w:val="00FD0B3B"/>
    <w:rsid w:val="00FD2E38"/>
    <w:rsid w:val="00FD2F45"/>
    <w:rsid w:val="00FD3170"/>
    <w:rsid w:val="00FD36AF"/>
    <w:rsid w:val="00FD4C77"/>
    <w:rsid w:val="00FD6CD5"/>
    <w:rsid w:val="00FD70E6"/>
    <w:rsid w:val="00FD75E1"/>
    <w:rsid w:val="00FE08FD"/>
    <w:rsid w:val="00FE36B0"/>
    <w:rsid w:val="00FE523E"/>
    <w:rsid w:val="00FF0347"/>
    <w:rsid w:val="00FF03C9"/>
    <w:rsid w:val="00FF19EA"/>
    <w:rsid w:val="00FF1F47"/>
    <w:rsid w:val="00FF29FE"/>
    <w:rsid w:val="00FF3A6F"/>
    <w:rsid w:val="00FF5735"/>
    <w:rsid w:val="00FF5A87"/>
    <w:rsid w:val="02D51B41"/>
    <w:rsid w:val="04FD45A6"/>
    <w:rsid w:val="050F1EDA"/>
    <w:rsid w:val="054C53BC"/>
    <w:rsid w:val="08A20D94"/>
    <w:rsid w:val="0AB23F75"/>
    <w:rsid w:val="0C6208F5"/>
    <w:rsid w:val="10644300"/>
    <w:rsid w:val="114A5811"/>
    <w:rsid w:val="15742764"/>
    <w:rsid w:val="1649293E"/>
    <w:rsid w:val="184152B4"/>
    <w:rsid w:val="1D666D95"/>
    <w:rsid w:val="1E670351"/>
    <w:rsid w:val="207C33CD"/>
    <w:rsid w:val="2267521A"/>
    <w:rsid w:val="315A07EA"/>
    <w:rsid w:val="36981915"/>
    <w:rsid w:val="3C872539"/>
    <w:rsid w:val="3E5366CC"/>
    <w:rsid w:val="3EB3133C"/>
    <w:rsid w:val="4326593D"/>
    <w:rsid w:val="4776445C"/>
    <w:rsid w:val="47C52F1D"/>
    <w:rsid w:val="481676CB"/>
    <w:rsid w:val="4BC3368F"/>
    <w:rsid w:val="4D1F0243"/>
    <w:rsid w:val="4E5F32FC"/>
    <w:rsid w:val="50F87443"/>
    <w:rsid w:val="548C3B38"/>
    <w:rsid w:val="58027B07"/>
    <w:rsid w:val="600F6C83"/>
    <w:rsid w:val="60D7528E"/>
    <w:rsid w:val="669A7F65"/>
    <w:rsid w:val="701E1368"/>
    <w:rsid w:val="793A7A0A"/>
    <w:rsid w:val="7ABB71C2"/>
    <w:rsid w:val="7CC550C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39" w:semiHidden="0" w:name="Table Grid"/>
    <w:lsdException w:qFormat="1" w:uiPriority="99" w:semiHidden="0" w:name="Table Theme"/>
    <w:lsdException w:unhideWhenUsed="0" w:uiPriority="99" w:name="Placeholder Text"/>
    <w:lsdException w:uiPriority="99"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uiPriority="99" w:name="Quote"/>
    <w:lsdException w:qFormat="1" w:uiPriority="99" w:name="Intense Quote"/>
    <w:lsdException w:qFormat="1" w:uiPriority="66" w:name="Medium List 2 Accent 1"/>
    <w:lsdException w:qFormat="1" w:uiPriority="67" w:name="Medium Grid 1 Accent 1"/>
    <w:lsdException w:qFormat="1"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uiPriority="68" w:name="Medium Grid 2 Accent 3"/>
    <w:lsdException w:qFormat="1"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uiPriority="68" w:name="Medium Grid 2 Accent 4"/>
    <w:lsdException w:qFormat="1"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6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7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73"/>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7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275"/>
    <w:semiHidden/>
    <w:unhideWhenUsed/>
    <w:qFormat/>
    <w:uiPriority w:val="9"/>
    <w:pPr>
      <w:keepNext/>
      <w:keepLines/>
      <w:spacing w:before="240" w:after="64" w:line="320" w:lineRule="auto"/>
      <w:outlineLvl w:val="6"/>
    </w:pPr>
    <w:rPr>
      <w:b/>
      <w:bCs/>
      <w:sz w:val="24"/>
    </w:rPr>
  </w:style>
  <w:style w:type="paragraph" w:styleId="10">
    <w:name w:val="heading 8"/>
    <w:basedOn w:val="1"/>
    <w:next w:val="1"/>
    <w:link w:val="276"/>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277"/>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Layout w:type="fixed"/>
      <w:tblCellMar>
        <w:top w:w="0" w:type="dxa"/>
        <w:left w:w="108" w:type="dxa"/>
        <w:bottom w:w="0" w:type="dxa"/>
        <w:right w:w="108" w:type="dxa"/>
      </w:tblCellMar>
    </w:tblPr>
  </w:style>
  <w:style w:type="paragraph" w:styleId="2">
    <w:name w:val="macro"/>
    <w:link w:val="284"/>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60"/>
    </w:pPr>
    <w:rPr>
      <w:rFonts w:ascii="Courier New" w:hAnsi="Courier New" w:eastAsia="宋体" w:cs="Courier New"/>
      <w:kern w:val="2"/>
      <w:sz w:val="24"/>
      <w:szCs w:val="24"/>
      <w:lang w:val="en-US" w:eastAsia="zh-CN" w:bidi="ar-SA"/>
      <w14:ligatures w14:val="standardContextual"/>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semiHidden/>
    <w:unhideWhenUsed/>
    <w:qFormat/>
    <w:uiPriority w:val="39"/>
    <w:pPr>
      <w:ind w:left="2520" w:leftChars="1200"/>
    </w:p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416"/>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semiHidden/>
    <w:unhideWhenUsed/>
    <w:qFormat/>
    <w:uiPriority w:val="99"/>
    <w:pPr>
      <w:ind w:left="1400" w:leftChars="1400"/>
    </w:pPr>
  </w:style>
  <w:style w:type="paragraph" w:styleId="19">
    <w:name w:val="E-mail Signature"/>
    <w:basedOn w:val="1"/>
    <w:link w:val="282"/>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semiHidden/>
    <w:unhideWhenUsed/>
    <w:qFormat/>
    <w:uiPriority w:val="99"/>
    <w:pPr>
      <w:ind w:firstLine="420" w:firstLineChars="200"/>
    </w:p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rPr>
  </w:style>
  <w:style w:type="paragraph" w:styleId="26">
    <w:name w:val="Document Map"/>
    <w:basedOn w:val="1"/>
    <w:link w:val="396"/>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eastAsiaTheme="majorEastAsia" w:cstheme="majorBidi"/>
      <w:sz w:val="24"/>
    </w:rPr>
  </w:style>
  <w:style w:type="paragraph" w:styleId="28">
    <w:name w:val="annotation text"/>
    <w:basedOn w:val="1"/>
    <w:link w:val="263"/>
    <w:semiHidden/>
    <w:unhideWhenUsed/>
    <w:qFormat/>
    <w:uiPriority w:val="99"/>
  </w:style>
  <w:style w:type="paragraph" w:styleId="29">
    <w:name w:val="index 6"/>
    <w:basedOn w:val="1"/>
    <w:next w:val="1"/>
    <w:semiHidden/>
    <w:unhideWhenUsed/>
    <w:qFormat/>
    <w:uiPriority w:val="99"/>
    <w:pPr>
      <w:ind w:left="1000" w:leftChars="1000"/>
    </w:pPr>
  </w:style>
  <w:style w:type="paragraph" w:styleId="30">
    <w:name w:val="Salutation"/>
    <w:basedOn w:val="1"/>
    <w:next w:val="1"/>
    <w:link w:val="280"/>
    <w:semiHidden/>
    <w:unhideWhenUsed/>
    <w:qFormat/>
    <w:uiPriority w:val="99"/>
  </w:style>
  <w:style w:type="paragraph" w:styleId="31">
    <w:name w:val="Body Text 3"/>
    <w:basedOn w:val="1"/>
    <w:link w:val="408"/>
    <w:semiHidden/>
    <w:unhideWhenUsed/>
    <w:qFormat/>
    <w:uiPriority w:val="99"/>
    <w:pPr>
      <w:spacing w:after="120"/>
    </w:pPr>
    <w:rPr>
      <w:sz w:val="16"/>
      <w:szCs w:val="16"/>
    </w:rPr>
  </w:style>
  <w:style w:type="paragraph" w:styleId="32">
    <w:name w:val="Closing"/>
    <w:basedOn w:val="1"/>
    <w:link w:val="286"/>
    <w:semiHidden/>
    <w:unhideWhenUsed/>
    <w:qFormat/>
    <w:uiPriority w:val="99"/>
    <w:pPr>
      <w:ind w:left="100" w:leftChars="210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link w:val="406"/>
    <w:semiHidden/>
    <w:unhideWhenUsed/>
    <w:qFormat/>
    <w:uiPriority w:val="99"/>
    <w:pPr>
      <w:spacing w:after="120"/>
    </w:pPr>
  </w:style>
  <w:style w:type="paragraph" w:styleId="35">
    <w:name w:val="Body Text Indent"/>
    <w:basedOn w:val="1"/>
    <w:link w:val="410"/>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266"/>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semiHidden/>
    <w:unhideWhenUsed/>
    <w:qFormat/>
    <w:uiPriority w:val="39"/>
    <w:pPr>
      <w:ind w:left="1680" w:leftChars="800"/>
    </w:pPr>
  </w:style>
  <w:style w:type="paragraph" w:styleId="44">
    <w:name w:val="toc 3"/>
    <w:basedOn w:val="1"/>
    <w:next w:val="1"/>
    <w:unhideWhenUsed/>
    <w:qFormat/>
    <w:uiPriority w:val="39"/>
    <w:pPr>
      <w:ind w:left="840" w:leftChars="400"/>
    </w:pPr>
  </w:style>
  <w:style w:type="paragraph" w:styleId="45">
    <w:name w:val="Plain Text"/>
    <w:basedOn w:val="1"/>
    <w:link w:val="281"/>
    <w:semiHidden/>
    <w:unhideWhenUsed/>
    <w:qFormat/>
    <w:uiPriority w:val="99"/>
    <w:rPr>
      <w:rFonts w:hAnsi="Courier New" w:cs="Courier New" w:asciiTheme="minorEastAsia"/>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semiHidden/>
    <w:unhideWhenUsed/>
    <w:qFormat/>
    <w:uiPriority w:val="39"/>
    <w:pPr>
      <w:ind w:left="2940" w:leftChars="1400"/>
    </w:pPr>
  </w:style>
  <w:style w:type="paragraph" w:styleId="49">
    <w:name w:val="index 3"/>
    <w:basedOn w:val="1"/>
    <w:next w:val="1"/>
    <w:semiHidden/>
    <w:unhideWhenUsed/>
    <w:qFormat/>
    <w:uiPriority w:val="99"/>
    <w:pPr>
      <w:ind w:left="400" w:leftChars="400"/>
    </w:pPr>
  </w:style>
  <w:style w:type="paragraph" w:styleId="50">
    <w:name w:val="Date"/>
    <w:basedOn w:val="1"/>
    <w:next w:val="1"/>
    <w:link w:val="256"/>
    <w:semiHidden/>
    <w:unhideWhenUsed/>
    <w:qFormat/>
    <w:uiPriority w:val="99"/>
    <w:pPr>
      <w:ind w:left="100" w:leftChars="2500"/>
    </w:pPr>
  </w:style>
  <w:style w:type="paragraph" w:styleId="51">
    <w:name w:val="Body Text Indent 2"/>
    <w:basedOn w:val="1"/>
    <w:link w:val="412"/>
    <w:semiHidden/>
    <w:unhideWhenUsed/>
    <w:qFormat/>
    <w:uiPriority w:val="99"/>
    <w:pPr>
      <w:spacing w:after="120" w:line="480" w:lineRule="auto"/>
      <w:ind w:left="420" w:leftChars="200"/>
    </w:pPr>
  </w:style>
  <w:style w:type="paragraph" w:styleId="52">
    <w:name w:val="endnote text"/>
    <w:basedOn w:val="1"/>
    <w:link w:val="394"/>
    <w:semiHidden/>
    <w:unhideWhenUsed/>
    <w:qFormat/>
    <w:uiPriority w:val="99"/>
    <w:pPr>
      <w:snapToGrid w:val="0"/>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262"/>
    <w:semiHidden/>
    <w:unhideWhenUsed/>
    <w:qFormat/>
    <w:uiPriority w:val="99"/>
    <w:pPr>
      <w:spacing w:after="0" w:line="240" w:lineRule="auto"/>
    </w:pPr>
    <w:rPr>
      <w:sz w:val="18"/>
      <w:szCs w:val="18"/>
    </w:rPr>
  </w:style>
  <w:style w:type="paragraph" w:styleId="55">
    <w:name w:val="footer"/>
    <w:basedOn w:val="1"/>
    <w:link w:val="250"/>
    <w:unhideWhenUsed/>
    <w:qFormat/>
    <w:uiPriority w:val="99"/>
    <w:pPr>
      <w:tabs>
        <w:tab w:val="center" w:pos="4153"/>
        <w:tab w:val="right" w:pos="8306"/>
      </w:tabs>
      <w:snapToGrid w:val="0"/>
      <w:spacing w:line="240" w:lineRule="auto"/>
    </w:pPr>
    <w:rPr>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249"/>
    <w:unhideWhenUsed/>
    <w:qFormat/>
    <w:uiPriority w:val="99"/>
    <w:pPr>
      <w:tabs>
        <w:tab w:val="center" w:pos="4153"/>
        <w:tab w:val="right" w:pos="8306"/>
      </w:tabs>
      <w:snapToGrid w:val="0"/>
      <w:spacing w:line="240" w:lineRule="auto"/>
      <w:jc w:val="center"/>
    </w:pPr>
    <w:rPr>
      <w:sz w:val="18"/>
      <w:szCs w:val="18"/>
    </w:rPr>
  </w:style>
  <w:style w:type="paragraph" w:styleId="58">
    <w:name w:val="Signature"/>
    <w:basedOn w:val="1"/>
    <w:link w:val="292"/>
    <w:semiHidden/>
    <w:unhideWhenUsed/>
    <w:qFormat/>
    <w:uiPriority w:val="99"/>
    <w:pPr>
      <w:ind w:left="100" w:leftChars="2100"/>
    </w:pPr>
  </w:style>
  <w:style w:type="paragraph" w:styleId="59">
    <w:name w:val="toc 1"/>
    <w:basedOn w:val="1"/>
    <w:next w:val="1"/>
    <w:unhideWhenUsed/>
    <w:qFormat/>
    <w:uiPriority w:val="39"/>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semiHidden/>
    <w:unhideWhenUsed/>
    <w:qFormat/>
    <w:uiPriority w:val="39"/>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style>
  <w:style w:type="paragraph" w:styleId="64">
    <w:name w:val="Subtitle"/>
    <w:basedOn w:val="1"/>
    <w:next w:val="1"/>
    <w:link w:val="283"/>
    <w:qFormat/>
    <w:uiPriority w:val="11"/>
    <w:pPr>
      <w:spacing w:before="240" w:after="60" w:line="312" w:lineRule="auto"/>
      <w:jc w:val="center"/>
      <w:outlineLvl w:val="1"/>
    </w:pPr>
    <w:rPr>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285"/>
    <w:semiHidden/>
    <w:unhideWhenUsed/>
    <w:qFormat/>
    <w:uiPriority w:val="99"/>
    <w:pPr>
      <w:snapToGrid w:val="0"/>
    </w:pPr>
    <w:rPr>
      <w:sz w:val="18"/>
      <w:szCs w:val="18"/>
    </w:rPr>
  </w:style>
  <w:style w:type="paragraph" w:styleId="68">
    <w:name w:val="toc 6"/>
    <w:basedOn w:val="1"/>
    <w:next w:val="1"/>
    <w:semiHidden/>
    <w:unhideWhenUsed/>
    <w:qFormat/>
    <w:uiPriority w:val="39"/>
    <w:pPr>
      <w:ind w:left="2100" w:leftChars="1000"/>
    </w:p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413"/>
    <w:semiHidden/>
    <w:unhideWhenUsed/>
    <w:qFormat/>
    <w:uiPriority w:val="99"/>
    <w:pPr>
      <w:spacing w:after="120"/>
      <w:ind w:left="420" w:leftChars="200"/>
    </w:pPr>
    <w:rPr>
      <w:sz w:val="16"/>
      <w:szCs w:val="16"/>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unhideWhenUsed/>
    <w:qFormat/>
    <w:uiPriority w:val="39"/>
    <w:pPr>
      <w:ind w:left="420" w:leftChars="200"/>
    </w:pPr>
  </w:style>
  <w:style w:type="paragraph" w:styleId="75">
    <w:name w:val="toc 9"/>
    <w:basedOn w:val="1"/>
    <w:next w:val="1"/>
    <w:semiHidden/>
    <w:unhideWhenUsed/>
    <w:qFormat/>
    <w:uiPriority w:val="39"/>
    <w:pPr>
      <w:ind w:left="3360" w:leftChars="1600"/>
    </w:pPr>
  </w:style>
  <w:style w:type="paragraph" w:styleId="76">
    <w:name w:val="Body Text 2"/>
    <w:basedOn w:val="1"/>
    <w:link w:val="407"/>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03"/>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link w:val="267"/>
    <w:semiHidden/>
    <w:unhideWhenUsed/>
    <w:qFormat/>
    <w:uiPriority w:val="99"/>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269"/>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264"/>
    <w:semiHidden/>
    <w:unhideWhenUsed/>
    <w:qFormat/>
    <w:uiPriority w:val="99"/>
    <w:rPr>
      <w:b/>
      <w:bCs/>
    </w:rPr>
  </w:style>
  <w:style w:type="paragraph" w:styleId="86">
    <w:name w:val="Body Text First Indent"/>
    <w:basedOn w:val="34"/>
    <w:link w:val="409"/>
    <w:semiHidden/>
    <w:unhideWhenUsed/>
    <w:qFormat/>
    <w:uiPriority w:val="99"/>
    <w:pPr>
      <w:ind w:firstLine="420" w:firstLineChars="100"/>
    </w:pPr>
  </w:style>
  <w:style w:type="paragraph" w:styleId="87">
    <w:name w:val="Body Text First Indent 2"/>
    <w:basedOn w:val="35"/>
    <w:link w:val="411"/>
    <w:semiHidden/>
    <w:unhideWhenUsed/>
    <w:qFormat/>
    <w:uiPriority w:val="99"/>
    <w:pPr>
      <w:ind w:firstLine="420" w:firstLineChars="200"/>
    </w:pPr>
  </w:style>
  <w:style w:type="table" w:styleId="89">
    <w:name w:val="Table Grid"/>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0">
    <w:name w:val="Table Theme"/>
    <w:basedOn w:val="88"/>
    <w:unhideWhenUsed/>
    <w:qFormat/>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Colorful 1"/>
    <w:basedOn w:val="88"/>
    <w:semiHidden/>
    <w:unhideWhenUsed/>
    <w:qFormat/>
    <w:uiPriority w:val="99"/>
    <w:pPr>
      <w:widowControl w:val="0"/>
      <w:spacing w:after="160" w:line="278"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Pr>
    <w:tcPr>
      <w:shd w:val="solid" w:color="008080" w:fill="FFFFFF"/>
    </w:tcPr>
    <w:tblStylePr w:type="firstRow">
      <w:rPr>
        <w:b/>
        <w:bCs/>
        <w:i/>
        <w:iCs/>
      </w:rPr>
      <w:tblPr>
        <w:tblLayout w:type="fixed"/>
      </w:tblPr>
      <w:tcPr>
        <w:tcBorders>
          <w:tl2br w:val="nil"/>
          <w:tr2bl w:val="nil"/>
        </w:tcBorders>
        <w:shd w:val="solid" w:color="000000" w:fill="FFFFFF"/>
      </w:tcPr>
    </w:tblStylePr>
    <w:tblStylePr w:type="firstCol">
      <w:rPr>
        <w:b/>
        <w:bCs/>
        <w:i/>
        <w:iCs/>
      </w:rPr>
      <w:tblPr>
        <w:tblLayout w:type="fixed"/>
      </w:tblPr>
      <w:tcPr>
        <w:tcBorders>
          <w:tl2br w:val="nil"/>
          <w:tr2bl w:val="nil"/>
        </w:tcBorders>
        <w:shd w:val="solid" w:color="000080" w:fill="FFFFFF"/>
      </w:tcPr>
    </w:tblStylePr>
    <w:tblStylePr w:type="nwCell">
      <w:tblPr>
        <w:tblLayout w:type="fixed"/>
      </w:tblPr>
      <w:tcPr>
        <w:tcBorders>
          <w:tl2br w:val="nil"/>
          <w:tr2bl w:val="nil"/>
        </w:tcBorders>
        <w:shd w:val="solid" w:color="000000" w:fill="FFFFFF"/>
      </w:tcPr>
    </w:tblStylePr>
    <w:tblStylePr w:type="swCell">
      <w:rPr>
        <w:b/>
        <w:bCs/>
        <w:i w:val="0"/>
        <w:iCs w:val="0"/>
      </w:rPr>
      <w:tblPr>
        <w:tblLayout w:type="fixed"/>
      </w:tblPr>
      <w:tcPr>
        <w:tcBorders>
          <w:tl2br w:val="nil"/>
          <w:tr2bl w:val="nil"/>
        </w:tcBorders>
      </w:tcPr>
    </w:tblStylePr>
  </w:style>
  <w:style w:type="table" w:styleId="92">
    <w:name w:val="Table Colorful 2"/>
    <w:basedOn w:val="88"/>
    <w:semiHidden/>
    <w:unhideWhenUsed/>
    <w:qFormat/>
    <w:uiPriority w:val="99"/>
    <w:pPr>
      <w:widowControl w:val="0"/>
      <w:spacing w:after="160" w:line="278" w:lineRule="auto"/>
    </w:pPr>
    <w:tblPr>
      <w:tblBorders>
        <w:bottom w:val="single" w:color="000000" w:sz="12" w:space="0"/>
      </w:tblBorders>
      <w:tblLayout w:type="fixed"/>
    </w:tblPr>
    <w:tcPr>
      <w:shd w:val="pct20" w:color="FFFF00" w:fill="FFFFFF"/>
    </w:tcPr>
    <w:tblStylePr w:type="firstRow">
      <w:rPr>
        <w:b/>
        <w:bCs/>
        <w:i/>
        <w:iCs/>
        <w:color w:val="FFFFFF"/>
      </w:rPr>
      <w:tblPr>
        <w:tblLayout w:type="fixed"/>
      </w:tblPr>
      <w:tcPr>
        <w:tcBorders>
          <w:bottom w:val="single" w:color="000000" w:sz="12" w:space="0"/>
          <w:tl2br w:val="nil"/>
          <w:tr2bl w:val="nil"/>
        </w:tcBorders>
        <w:shd w:val="solid" w:color="800000" w:fill="FFFFFF"/>
      </w:tcPr>
    </w:tblStylePr>
    <w:tblStylePr w:type="firstCol">
      <w:rPr>
        <w:b/>
        <w:bCs/>
        <w:i/>
        <w:iCs/>
      </w:rPr>
      <w:tblPr>
        <w:tblLayout w:type="fixed"/>
      </w:tblPr>
      <w:tcPr>
        <w:tcBorders>
          <w:tl2br w:val="nil"/>
          <w:tr2bl w:val="nil"/>
        </w:tcBorders>
      </w:tcPr>
    </w:tblStylePr>
    <w:tblStylePr w:type="lastCol">
      <w:tblPr>
        <w:tblLayout w:type="fixed"/>
      </w:tblPr>
      <w:tcPr>
        <w:tcBorders>
          <w:tl2br w:val="nil"/>
          <w:tr2bl w:val="nil"/>
        </w:tcBorders>
        <w:shd w:val="solid" w:color="C0C0C0" w:fill="FFFFFF"/>
      </w:tcPr>
    </w:tblStylePr>
    <w:tblStylePr w:type="swCell">
      <w:rPr>
        <w:b/>
        <w:bCs/>
        <w:i w:val="0"/>
        <w:iCs w:val="0"/>
      </w:rPr>
      <w:tblPr>
        <w:tblLayout w:type="fixed"/>
      </w:tblPr>
      <w:tcPr>
        <w:tcBorders>
          <w:tl2br w:val="nil"/>
          <w:tr2bl w:val="nil"/>
        </w:tcBorders>
      </w:tcPr>
    </w:tblStylePr>
  </w:style>
  <w:style w:type="table" w:styleId="93">
    <w:name w:val="Table Colorful 3"/>
    <w:basedOn w:val="88"/>
    <w:semiHidden/>
    <w:unhideWhenUsed/>
    <w:qFormat/>
    <w:uiPriority w:val="99"/>
    <w:pPr>
      <w:widowControl w:val="0"/>
      <w:spacing w:after="160" w:line="278" w:lineRule="auto"/>
    </w:p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Pr>
    <w:tcPr>
      <w:shd w:val="pct25" w:color="008080" w:fill="FFFFFF"/>
    </w:tcPr>
    <w:tblStylePr w:type="firstRow">
      <w:tblPr>
        <w:tblLayout w:type="fixed"/>
      </w:tblPr>
      <w:tcPr>
        <w:tcBorders>
          <w:bottom w:val="single" w:color="000000" w:sz="6" w:space="0"/>
          <w:tl2br w:val="nil"/>
          <w:tr2bl w:val="nil"/>
        </w:tcBorders>
        <w:shd w:val="solid" w:color="008080" w:fill="FFFFFF"/>
      </w:tcPr>
    </w:tblStylePr>
    <w:tblStylePr w:type="firstCol">
      <w:tblPr>
        <w:tblLayout w:type="fixed"/>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blLayout w:type="fixed"/>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spacing w:after="160" w:line="278"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95">
    <w:name w:val="Table Classic 1"/>
    <w:basedOn w:val="88"/>
    <w:semiHidden/>
    <w:unhideWhenUsed/>
    <w:qFormat/>
    <w:uiPriority w:val="99"/>
    <w:pPr>
      <w:widowControl w:val="0"/>
      <w:spacing w:after="160" w:line="278" w:lineRule="auto"/>
    </w:p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96">
    <w:name w:val="Table Classic 2"/>
    <w:basedOn w:val="88"/>
    <w:semiHidden/>
    <w:unhideWhenUsed/>
    <w:qFormat/>
    <w:uiPriority w:val="99"/>
    <w:pPr>
      <w:widowControl w:val="0"/>
      <w:spacing w:after="160" w:line="278" w:lineRule="auto"/>
    </w:p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97">
    <w:name w:val="Table Classic 3"/>
    <w:basedOn w:val="88"/>
    <w:semiHidden/>
    <w:unhideWhenUsed/>
    <w:qFormat/>
    <w:uiPriority w:val="99"/>
    <w:pPr>
      <w:widowControl w:val="0"/>
      <w:spacing w:after="160" w:line="278" w:lineRule="auto"/>
    </w:pPr>
    <w:rPr>
      <w:color w:val="000080"/>
    </w:rPr>
    <w:tblPr>
      <w:tblBorders>
        <w:top w:val="single" w:color="000000" w:sz="12" w:space="0"/>
        <w:left w:val="single" w:color="000000" w:sz="12" w:space="0"/>
        <w:bottom w:val="single" w:color="000000" w:sz="12" w:space="0"/>
        <w:right w:val="single" w:color="000000" w:sz="12" w:space="0"/>
      </w:tblBorders>
      <w:tblLayout w:type="fixed"/>
    </w:tblPr>
    <w:tcPr>
      <w:shd w:val="solid" w:color="C0C0C0" w:fill="FFFFFF"/>
    </w:tcPr>
    <w:tblStylePr w:type="firstRow">
      <w:rPr>
        <w:b/>
        <w:bCs/>
        <w:i/>
        <w:iCs/>
        <w:color w:val="FFFFFF"/>
      </w:rPr>
      <w:tblPr>
        <w:tblLayout w:type="fixed"/>
      </w:tblPr>
      <w:tcPr>
        <w:tcBorders>
          <w:bottom w:val="single" w:color="000000" w:sz="6" w:space="0"/>
          <w:tl2br w:val="nil"/>
          <w:tr2bl w:val="nil"/>
        </w:tcBorders>
        <w:shd w:val="solid" w:color="000080" w:fill="FFFFFF"/>
      </w:tcPr>
    </w:tblStylePr>
    <w:tblStylePr w:type="lastRow">
      <w:rPr>
        <w:color w:val="000080"/>
      </w:rPr>
      <w:tblPr>
        <w:tblLayout w:type="fixed"/>
      </w:tblPr>
      <w:tcPr>
        <w:tcBorders>
          <w:top w:val="single" w:color="000000" w:sz="12" w:space="0"/>
          <w:tl2br w:val="nil"/>
          <w:tr2bl w:val="nil"/>
        </w:tcBorders>
        <w:shd w:val="solid" w:color="FFFFFF" w:fill="FFFFFF"/>
      </w:tcPr>
    </w:tblStylePr>
    <w:tblStylePr w:type="firstCol">
      <w:rPr>
        <w:b/>
        <w:bCs/>
        <w:color w:val="000000"/>
      </w:rPr>
      <w:tblPr>
        <w:tblLayout w:type="fixed"/>
      </w:tblPr>
      <w:tcPr>
        <w:tcBorders>
          <w:tl2br w:val="nil"/>
          <w:tr2bl w:val="nil"/>
        </w:tcBorders>
      </w:tcPr>
    </w:tblStylePr>
  </w:style>
  <w:style w:type="table" w:styleId="98">
    <w:name w:val="Table Classic 4"/>
    <w:basedOn w:val="88"/>
    <w:semiHidden/>
    <w:unhideWhenUsed/>
    <w:qFormat/>
    <w:uiPriority w:val="99"/>
    <w:pPr>
      <w:widowControl w:val="0"/>
      <w:spacing w:after="160" w:line="278" w:lineRule="auto"/>
    </w:pPr>
    <w:tblPr>
      <w:tblBorders>
        <w:top w:val="single" w:color="000000" w:sz="12" w:space="0"/>
        <w:left w:val="single" w:color="000000" w:sz="6" w:space="0"/>
        <w:bottom w:val="single" w:color="000000" w:sz="12" w:space="0"/>
        <w:right w:val="single" w:color="000000" w:sz="6" w:space="0"/>
      </w:tblBorders>
      <w:tblLayout w:type="fixed"/>
    </w:tblPr>
    <w:tcPr>
      <w:shd w:val="clear" w:color="auto" w:fill="auto"/>
    </w:tcPr>
    <w:tblStylePr w:type="firstRow">
      <w:rPr>
        <w:b/>
        <w:bCs/>
        <w:i/>
        <w:iCs/>
        <w:color w:val="FFFFFF"/>
      </w:rPr>
      <w:tblPr>
        <w:tblLayout w:type="fixed"/>
      </w:tblPr>
      <w:tcPr>
        <w:tcBorders>
          <w:bottom w:val="single" w:color="000000" w:sz="6" w:space="0"/>
          <w:tl2br w:val="nil"/>
          <w:tr2bl w:val="nil"/>
        </w:tcBorders>
        <w:shd w:val="pct50" w:color="000080" w:fill="FFFFFF"/>
      </w:tcPr>
    </w:tblStylePr>
    <w:tblStylePr w:type="lastRow">
      <w:rPr>
        <w:color w:val="000080"/>
      </w:rPr>
      <w:tblPr>
        <w:tblLayout w:type="fixed"/>
      </w:tblPr>
      <w:tcPr>
        <w:tcBorders>
          <w:bottom w:val="single" w:color="000000" w:sz="6" w:space="0"/>
          <w:tl2br w:val="nil"/>
          <w:tr2bl w:val="nil"/>
        </w:tcBorders>
        <w:shd w:val="pct50" w:color="000000" w:fill="FFFFFF"/>
      </w:tcPr>
    </w:tblStylePr>
    <w:tblStylePr w:type="firstCol">
      <w:rPr>
        <w:b/>
        <w:bCs/>
      </w:rPr>
      <w:tblPr>
        <w:tblLayout w:type="fixed"/>
      </w:tblPr>
      <w:tcPr>
        <w:tcBorders>
          <w:tl2br w:val="nil"/>
          <w:tr2bl w:val="nil"/>
        </w:tcBorders>
      </w:tcPr>
    </w:tblStylePr>
    <w:tblStylePr w:type="nwCell">
      <w:rPr>
        <w:b/>
        <w:bCs/>
      </w:rPr>
      <w:tblPr>
        <w:tblLayout w:type="fixed"/>
      </w:tblPr>
      <w:tcPr>
        <w:tcBorders>
          <w:tl2br w:val="nil"/>
          <w:tr2bl w:val="nil"/>
        </w:tcBorders>
      </w:tcPr>
    </w:tblStylePr>
    <w:tblStylePr w:type="swCell">
      <w:rPr>
        <w:color w:val="000080"/>
      </w:rPr>
      <w:tblPr>
        <w:tblLayout w:type="fixed"/>
      </w:tblPr>
      <w:tcPr>
        <w:tcBorders>
          <w:tl2br w:val="nil"/>
          <w:tr2bl w:val="nil"/>
        </w:tcBorders>
      </w:tcPr>
    </w:tblStylePr>
  </w:style>
  <w:style w:type="table" w:styleId="99">
    <w:name w:val="Table Simple 1"/>
    <w:basedOn w:val="88"/>
    <w:semiHidden/>
    <w:unhideWhenUsed/>
    <w:qFormat/>
    <w:uiPriority w:val="99"/>
    <w:pPr>
      <w:widowControl w:val="0"/>
      <w:spacing w:after="160" w:line="278" w:lineRule="auto"/>
    </w:pPr>
    <w:tblPr>
      <w:tblBorders>
        <w:top w:val="single" w:color="008000" w:sz="12" w:space="0"/>
        <w:bottom w:val="single" w:color="008000" w:sz="12" w:space="0"/>
      </w:tblBorders>
      <w:tblLayout w:type="fixed"/>
    </w:tblPr>
    <w:tcPr>
      <w:shd w:val="clear" w:color="auto" w:fill="auto"/>
    </w:tcPr>
    <w:tblStylePr w:type="firstRow">
      <w:tblPr>
        <w:tblLayout w:type="fixed"/>
      </w:tblPr>
      <w:tcPr>
        <w:tcBorders>
          <w:bottom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spacing w:after="160" w:line="278" w:lineRule="auto"/>
    </w:pPr>
    <w:tblPr>
      <w:tblLayout w:type="fixed"/>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101">
    <w:name w:val="Table Simple 3"/>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tblBorders>
      <w:tblLayout w:type="fixed"/>
    </w:tblPr>
    <w:tcPr>
      <w:shd w:val="clear" w:color="auto" w:fill="auto"/>
    </w:tcPr>
    <w:tblStylePr w:type="firstRow">
      <w:rPr>
        <w:b/>
        <w:bCs/>
        <w:color w:val="FFFFFF"/>
      </w:rPr>
      <w:tblPr>
        <w:tblLayout w:type="fixed"/>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spacing w:after="160" w:line="278" w:lineRule="auto"/>
    </w:pPr>
    <w:tblPr>
      <w:tblStyleRowBandSize w:val="1"/>
      <w:tblLayout w:type="fixed"/>
    </w:tblPr>
    <w:tblStylePr w:type="firstRow">
      <w:tblPr>
        <w:tblLayout w:type="fixed"/>
      </w:tblPr>
      <w:tcPr>
        <w:tcBorders>
          <w:top w:val="single" w:color="000000" w:sz="6" w:space="0"/>
          <w:bottom w:val="single" w:color="000000" w:sz="12" w:space="0"/>
          <w:tl2br w:val="nil"/>
          <w:tr2bl w:val="nil"/>
        </w:tcBorders>
      </w:tcPr>
    </w:tblStylePr>
    <w:tblStylePr w:type="lastRow">
      <w:tblPr>
        <w:tblLayout w:type="fixed"/>
      </w:tblPr>
      <w:tcPr>
        <w:tcBorders>
          <w:top w:val="single" w:color="000000" w:sz="12" w:space="0"/>
          <w:tl2br w:val="nil"/>
          <w:tr2bl w:val="nil"/>
        </w:tcBorders>
        <w:shd w:val="pct25" w:color="800080" w:fill="FFFFFF"/>
      </w:tcPr>
    </w:tblStylePr>
    <w:tblStylePr w:type="firstCol">
      <w:tblPr>
        <w:tblLayout w:type="fixed"/>
      </w:tblPr>
      <w:tcPr>
        <w:tcBorders>
          <w:right w:val="single" w:color="000000" w:sz="12" w:space="0"/>
          <w:tl2br w:val="nil"/>
          <w:tr2bl w:val="nil"/>
        </w:tcBorders>
      </w:tcPr>
    </w:tblStylePr>
    <w:tblStylePr w:type="lastCol">
      <w:tblPr>
        <w:tblLayout w:type="fixed"/>
      </w:tblPr>
      <w:tcPr>
        <w:tcBorders>
          <w:left w:val="single" w:color="000000" w:sz="12" w:space="0"/>
          <w:tl2br w:val="nil"/>
          <w:tr2bl w:val="nil"/>
        </w:tcBorders>
      </w:tcPr>
    </w:tblStylePr>
    <w:tblStylePr w:type="band1Horz">
      <w:tblPr>
        <w:tblLayout w:type="fixed"/>
      </w:tblPr>
      <w:tcPr>
        <w:tcBorders>
          <w:bottom w:val="single" w:color="000000" w:sz="6"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03">
    <w:name w:val="Table Subtle 2"/>
    <w:basedOn w:val="88"/>
    <w:semiHidden/>
    <w:unhideWhenUsed/>
    <w:qFormat/>
    <w:uiPriority w:val="99"/>
    <w:pPr>
      <w:widowControl w:val="0"/>
      <w:spacing w:after="160" w:line="278" w:lineRule="auto"/>
    </w:pPr>
    <w:tblPr>
      <w:tblBorders>
        <w:left w:val="single" w:color="000000" w:sz="6" w:space="0"/>
        <w:right w:val="single" w:color="000000" w:sz="6" w:space="0"/>
      </w:tblBorders>
      <w:tblLayout w:type="fixed"/>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04">
    <w:name w:val="Table 3D effects 1"/>
    <w:basedOn w:val="88"/>
    <w:semiHidden/>
    <w:unhideWhenUsed/>
    <w:qFormat/>
    <w:uiPriority w:val="99"/>
    <w:pPr>
      <w:widowControl w:val="0"/>
      <w:spacing w:after="160" w:line="278" w:lineRule="auto"/>
    </w:pPr>
    <w:tblPr>
      <w:tblLayout w:type="fixed"/>
    </w:tblPr>
    <w:tcPr>
      <w:shd w:val="solid" w:color="C0C0C0" w:fill="FFFFFF"/>
    </w:tcPr>
    <w:tblStylePr w:type="firstRow">
      <w:rPr>
        <w:b/>
        <w:bCs/>
        <w:color w:val="800080"/>
      </w:rPr>
      <w:tblPr>
        <w:tblLayout w:type="fixed"/>
      </w:tblPr>
      <w:tcPr>
        <w:tcBorders>
          <w:bottom w:val="single" w:color="808080" w:sz="6" w:space="0"/>
          <w:tl2br w:val="nil"/>
          <w:tr2bl w:val="nil"/>
        </w:tcBorders>
      </w:tcPr>
    </w:tblStylePr>
    <w:tblStylePr w:type="lastRow">
      <w:tblPr>
        <w:tblLayout w:type="fixed"/>
      </w:tblPr>
      <w:tcPr>
        <w:tcBorders>
          <w:top w:val="single" w:color="FFFFFF" w:sz="6" w:space="0"/>
          <w:tl2br w:val="nil"/>
          <w:tr2bl w:val="nil"/>
        </w:tcBorders>
      </w:tcPr>
    </w:tblStylePr>
    <w:tblStylePr w:type="firstCol">
      <w:rPr>
        <w:b/>
        <w:bCs/>
      </w:rPr>
      <w:tblPr>
        <w:tblLayout w:type="fixed"/>
      </w:tblPr>
      <w:tcPr>
        <w:tcBorders>
          <w:right w:val="single" w:color="808080" w:sz="6" w:space="0"/>
          <w:tl2br w:val="nil"/>
          <w:tr2bl w:val="nil"/>
        </w:tcBorders>
      </w:tcPr>
    </w:tblStylePr>
    <w:tblStylePr w:type="lastCol">
      <w:tblPr>
        <w:tblLayout w:type="fixed"/>
      </w:tblPr>
      <w:tcPr>
        <w:tcBorders>
          <w:left w:val="single" w:color="FFFFFF" w:sz="6" w:space="0"/>
          <w:tl2br w:val="nil"/>
          <w:tr2bl w:val="nil"/>
        </w:tcBorders>
      </w:tcPr>
    </w:tblStylePr>
    <w:tblStylePr w:type="neCell">
      <w:tblPr>
        <w:tblLayout w:type="fixed"/>
      </w:tblPr>
      <w:tcPr>
        <w:tcBorders>
          <w:left w:val="nil"/>
          <w:bottom w:val="nil"/>
          <w:tl2br w:val="nil"/>
          <w:tr2bl w:val="nil"/>
        </w:tcBorders>
      </w:tcPr>
    </w:tblStylePr>
    <w:tblStylePr w:type="nwCell">
      <w:tblPr>
        <w:tblLayout w:type="fixed"/>
      </w:tblPr>
      <w:tcPr>
        <w:tcBorders>
          <w:bottom w:val="nil"/>
          <w:right w:val="nil"/>
          <w:tl2br w:val="nil"/>
          <w:tr2bl w:val="nil"/>
        </w:tcBorders>
      </w:tcPr>
    </w:tblStylePr>
    <w:tblStylePr w:type="seCell">
      <w:tblPr>
        <w:tblLayout w:type="fixed"/>
      </w:tblPr>
      <w:tcPr>
        <w:tcBorders>
          <w:top w:val="nil"/>
          <w:left w:val="nil"/>
          <w:tl2br w:val="nil"/>
          <w:tr2bl w:val="nil"/>
        </w:tcBorders>
      </w:tcPr>
    </w:tblStylePr>
    <w:tblStylePr w:type="swCell">
      <w:rPr>
        <w:color w:val="000080"/>
      </w:rPr>
      <w:tblPr>
        <w:tblLayout w:type="fixed"/>
      </w:tblPr>
      <w:tcPr>
        <w:tcBorders>
          <w:top w:val="nil"/>
          <w:right w:val="nil"/>
          <w:tl2br w:val="nil"/>
          <w:tr2bl w:val="nil"/>
        </w:tcBorders>
      </w:tcPr>
    </w:tblStylePr>
  </w:style>
  <w:style w:type="table" w:styleId="105">
    <w:name w:val="Table 3D effects 2"/>
    <w:basedOn w:val="88"/>
    <w:semiHidden/>
    <w:unhideWhenUsed/>
    <w:qFormat/>
    <w:uiPriority w:val="99"/>
    <w:pPr>
      <w:widowControl w:val="0"/>
      <w:spacing w:after="160" w:line="278" w:lineRule="auto"/>
    </w:pPr>
    <w:tblPr>
      <w:tblStyleRowBandSize w:val="1"/>
      <w:tblLayout w:type="fixed"/>
    </w:tblPr>
    <w:tcPr>
      <w:shd w:val="solid" w:color="C0C0C0" w:fill="FFFFFF"/>
    </w:tcPr>
    <w:tblStylePr w:type="firstRow">
      <w:rPr>
        <w:b/>
        <w:bCs/>
      </w:rPr>
      <w:tblPr>
        <w:tblLayout w:type="fixed"/>
      </w:tblPr>
      <w:tcPr>
        <w:tcBorders>
          <w:tl2br w:val="nil"/>
          <w:tr2bl w:val="nil"/>
        </w:tcBorders>
      </w:tcPr>
    </w:tblStylePr>
    <w:tblStylePr w:type="firstCol">
      <w:tblPr>
        <w:tblLayout w:type="fixed"/>
      </w:tblPr>
      <w:tcPr>
        <w:tcBorders>
          <w:top w:val="nil"/>
          <w:bottom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Horz">
      <w:tblPr>
        <w:tblLayout w:type="fixed"/>
      </w:tblPr>
      <w:tcPr>
        <w:tcBorders>
          <w:top w:val="single" w:color="808080" w:sz="6" w:space="0"/>
          <w:bottom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06">
    <w:name w:val="Table 3D effects 3"/>
    <w:basedOn w:val="88"/>
    <w:semiHidden/>
    <w:unhideWhenUsed/>
    <w:qFormat/>
    <w:uiPriority w:val="99"/>
    <w:pPr>
      <w:widowControl w:val="0"/>
      <w:spacing w:after="160" w:line="278" w:lineRule="auto"/>
    </w:pPr>
    <w:tblPr>
      <w:tblStyleRowBandSize w:val="1"/>
      <w:tblStyleColBandSize w:val="1"/>
      <w:tblLayout w:type="fixed"/>
    </w:tblPr>
    <w:tblStylePr w:type="firstRow">
      <w:rPr>
        <w:b/>
        <w:bCs/>
      </w:rPr>
      <w:tblPr>
        <w:tblLayout w:type="fixed"/>
      </w:tblPr>
      <w:tcPr>
        <w:tcBorders>
          <w:tl2br w:val="nil"/>
          <w:tr2bl w:val="nil"/>
        </w:tcBorders>
      </w:tcPr>
    </w:tblStylePr>
    <w:tblStylePr w:type="firstCol">
      <w:tblPr>
        <w:tblLayout w:type="fixed"/>
      </w:tblPr>
      <w:tcPr>
        <w:tcBorders>
          <w:top w:val="nil"/>
          <w:bottom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50" w:color="C0C0C0" w:fill="FFFFFF"/>
      </w:tcPr>
    </w:tblStylePr>
    <w:tblStylePr w:type="band1Horz">
      <w:tblPr>
        <w:tblLayout w:type="fixed"/>
      </w:tblPr>
      <w:tcPr>
        <w:tcBorders>
          <w:top w:val="single" w:color="808080" w:sz="6" w:space="0"/>
          <w:bottom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07">
    <w:name w:val="Table List 1"/>
    <w:basedOn w:val="88"/>
    <w:semiHidden/>
    <w:unhideWhenUsed/>
    <w:qFormat/>
    <w:uiPriority w:val="99"/>
    <w:pPr>
      <w:widowControl w:val="0"/>
      <w:spacing w:after="160" w:line="278" w:lineRule="auto"/>
    </w:pPr>
    <w:tblPr>
      <w:tblBorders>
        <w:top w:val="single" w:color="008080" w:sz="12" w:space="0"/>
        <w:left w:val="single" w:color="008080" w:sz="6" w:space="0"/>
        <w:bottom w:val="single" w:color="008080" w:sz="12" w:space="0"/>
        <w:right w:val="single" w:color="008080" w:sz="6" w:space="0"/>
      </w:tblBorders>
      <w:tblLayout w:type="fixed"/>
    </w:tblPr>
    <w:tblStylePr w:type="firstRow">
      <w:rPr>
        <w:b/>
        <w:bCs/>
        <w:i/>
        <w:iCs/>
        <w:color w:val="800000"/>
      </w:rPr>
      <w:tblPr>
        <w:tblLayout w:type="fixed"/>
      </w:tblPr>
      <w:tcPr>
        <w:tcBorders>
          <w:bottom w:val="single" w:color="000000" w:sz="6" w:space="0"/>
          <w:tl2br w:val="nil"/>
          <w:tr2bl w:val="nil"/>
        </w:tcBorders>
        <w:shd w:val="solid" w:color="C0C0C0" w:fill="FFFFFF"/>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solid" w:color="C0C0C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08">
    <w:name w:val="Table List 2"/>
    <w:basedOn w:val="88"/>
    <w:semiHidden/>
    <w:unhideWhenUsed/>
    <w:qFormat/>
    <w:uiPriority w:val="99"/>
    <w:pPr>
      <w:widowControl w:val="0"/>
      <w:spacing w:after="160" w:line="278" w:lineRule="auto"/>
    </w:pPr>
    <w:tblPr>
      <w:tblBorders>
        <w:bottom w:val="single" w:color="808080" w:sz="12" w:space="0"/>
      </w:tblBorders>
      <w:tblLayout w:type="fixed"/>
    </w:tblPr>
    <w:tblStylePr w:type="firstRow">
      <w:rPr>
        <w:b/>
        <w:bCs/>
        <w:color w:val="FFFFFF"/>
      </w:rPr>
      <w:tblPr>
        <w:tblLayout w:type="fixed"/>
      </w:tblPr>
      <w:tcPr>
        <w:tcBorders>
          <w:bottom w:val="single" w:color="000000" w:sz="6" w:space="0"/>
          <w:tl2br w:val="nil"/>
          <w:tr2bl w:val="nil"/>
        </w:tcBorders>
        <w:shd w:val="pct75" w:color="008080" w:fill="008000"/>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pct20" w:color="00FF0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09">
    <w:name w:val="Table List 3"/>
    <w:basedOn w:val="88"/>
    <w:semiHidden/>
    <w:unhideWhenUsed/>
    <w:qFormat/>
    <w:uiPriority w:val="99"/>
    <w:pPr>
      <w:widowControl w:val="0"/>
      <w:spacing w:after="160" w:line="278" w:lineRule="auto"/>
    </w:pPr>
    <w:tblPr>
      <w:tblBorders>
        <w:top w:val="single" w:color="000000" w:sz="12" w:space="0"/>
        <w:bottom w:val="single" w:color="000000" w:sz="12" w:space="0"/>
        <w:insideH w:val="single" w:color="000000" w:sz="6" w:space="0"/>
      </w:tblBorders>
      <w:tblLayout w:type="fixed"/>
    </w:tblPr>
    <w:tcPr>
      <w:shd w:val="clear" w:color="auto" w:fill="auto"/>
    </w:tcPr>
    <w:tblStylePr w:type="firstRow">
      <w:rPr>
        <w:b/>
        <w:bCs/>
        <w:color w:val="000080"/>
      </w:rPr>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swCell">
      <w:rPr>
        <w:i/>
        <w:iCs/>
        <w:color w:val="000080"/>
      </w:rPr>
      <w:tblPr>
        <w:tblLayout w:type="fixed"/>
      </w:tblPr>
      <w:tcPr>
        <w:tcBorders>
          <w:tl2br w:val="nil"/>
          <w:tr2bl w:val="nil"/>
        </w:tcBorders>
      </w:tcPr>
    </w:tblStylePr>
  </w:style>
  <w:style w:type="table" w:styleId="110">
    <w:name w:val="Table List 4"/>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Pr>
    <w:tcPr>
      <w:shd w:val="clear" w:color="auto" w:fill="auto"/>
    </w:tcPr>
    <w:tblStylePr w:type="firstRow">
      <w:rPr>
        <w:b/>
        <w:bCs/>
        <w:color w:val="FFFFFF"/>
      </w:rPr>
      <w:tblPr>
        <w:tblLayout w:type="fixed"/>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Pr>
    <w:tcPr>
      <w:shd w:val="clear" w:color="auto" w:fill="auto"/>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tl2br w:val="nil"/>
          <w:tr2bl w:val="nil"/>
        </w:tcBorders>
      </w:tcPr>
    </w:tblStylePr>
  </w:style>
  <w:style w:type="table" w:styleId="112">
    <w:name w:val="Table List 6"/>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tblBorders>
      <w:tblLayout w:type="fixed"/>
    </w:tblPr>
    <w:tcPr>
      <w:shd w:val="pct50" w:color="000000" w:fill="FFFFFF"/>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band1Horz">
      <w:tblPr>
        <w:tblLayout w:type="fixed"/>
      </w:tblPr>
      <w:tcPr>
        <w:tcBorders>
          <w:tl2br w:val="nil"/>
          <w:tr2bl w:val="nil"/>
        </w:tcBorders>
        <w:shd w:val="pct25" w:color="000000" w:fill="FFFFFF"/>
      </w:tcPr>
    </w:tblStylePr>
    <w:tblStylePr w:type="nwCell">
      <w:tblPr>
        <w:tblLayout w:type="fixed"/>
      </w:tblPr>
      <w:tcPr>
        <w:tcBorders>
          <w:tl2br w:val="single" w:color="000000" w:sz="6" w:space="0"/>
          <w:tr2bl w:val="nil"/>
        </w:tcBorders>
      </w:tcPr>
    </w:tblStylePr>
  </w:style>
  <w:style w:type="table" w:styleId="113">
    <w:name w:val="Table List 7"/>
    <w:basedOn w:val="88"/>
    <w:semiHidden/>
    <w:unhideWhenUsed/>
    <w:qFormat/>
    <w:uiPriority w:val="99"/>
    <w:pPr>
      <w:widowControl w:val="0"/>
      <w:spacing w:after="160" w:line="278" w:lineRule="auto"/>
    </w:p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Pr>
    <w:tblStylePr w:type="firstRow">
      <w:rPr>
        <w:b/>
        <w:bCs/>
      </w:rPr>
      <w:tblPr>
        <w:tblLayout w:type="fixed"/>
      </w:tblPr>
      <w:tcPr>
        <w:tcBorders>
          <w:bottom w:val="single" w:color="008000" w:sz="12" w:space="0"/>
          <w:tl2br w:val="nil"/>
          <w:tr2bl w:val="nil"/>
        </w:tcBorders>
        <w:shd w:val="solid" w:color="C0C0C0" w:fill="FFFFFF"/>
      </w:tcPr>
    </w:tblStylePr>
    <w:tblStylePr w:type="lastRow">
      <w:rPr>
        <w:b/>
        <w:bCs/>
      </w:rPr>
      <w:tblPr>
        <w:tblLayout w:type="fixed"/>
      </w:tblPr>
      <w:tcPr>
        <w:tcBorders>
          <w:top w:val="single" w:color="008000" w:sz="12"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0" w:color="000000" w:fill="FFFFFF"/>
      </w:tcPr>
    </w:tblStylePr>
    <w:tblStylePr w:type="band2Horz">
      <w:tblPr>
        <w:tblLayout w:type="fixed"/>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Pr>
    <w:tblStylePr w:type="firstRow">
      <w:rPr>
        <w:b/>
        <w:bCs/>
        <w:i/>
        <w:iCs/>
      </w:rPr>
      <w:tblPr>
        <w:tblLayout w:type="fixed"/>
      </w:tblPr>
      <w:tcPr>
        <w:tcBorders>
          <w:bottom w:val="single" w:color="000000" w:sz="6" w:space="0"/>
          <w:tl2br w:val="nil"/>
          <w:tr2bl w:val="nil"/>
        </w:tcBorders>
        <w:shd w:val="solid" w:color="FFFF00" w:fill="FFFFFF"/>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5" w:color="FFFF00" w:fill="FFFFFF"/>
      </w:tcPr>
    </w:tblStylePr>
    <w:tblStylePr w:type="band2Horz">
      <w:tblPr>
        <w:tblLayout w:type="fixed"/>
      </w:tblPr>
      <w:tcPr>
        <w:tcBorders>
          <w:tl2br w:val="nil"/>
          <w:tr2bl w:val="nil"/>
        </w:tcBorders>
        <w:shd w:val="pct50" w:color="FF0000" w:fill="FFFFFF"/>
      </w:tcPr>
    </w:tblStylePr>
    <w:tblStylePr w:type="nwCell">
      <w:tblPr>
        <w:tblLayout w:type="fixed"/>
      </w:tblPr>
      <w:tcPr>
        <w:tcBorders>
          <w:tl2br w:val="single" w:color="auto" w:sz="6" w:space="0"/>
          <w:tr2bl w:val="nil"/>
        </w:tcBorders>
      </w:tcPr>
    </w:tblStylePr>
  </w:style>
  <w:style w:type="table" w:styleId="115">
    <w:name w:val="Table Contemporary"/>
    <w:basedOn w:val="88"/>
    <w:semiHidden/>
    <w:unhideWhenUsed/>
    <w:qFormat/>
    <w:uiPriority w:val="99"/>
    <w:pPr>
      <w:widowControl w:val="0"/>
      <w:spacing w:after="160" w:line="278" w:lineRule="auto"/>
    </w:pPr>
    <w:tblPr>
      <w:tblBorders>
        <w:insideH w:val="single" w:color="FFFFFF" w:sz="18" w:space="0"/>
        <w:insideV w:val="single" w:color="FFFFFF" w:sz="18" w:space="0"/>
      </w:tblBorders>
      <w:tblLayout w:type="fixed"/>
    </w:tblPr>
    <w:tblStylePr w:type="firstRow">
      <w:rPr>
        <w:b/>
        <w:bCs/>
        <w:color w:val="auto"/>
      </w:rPr>
      <w:tblPr>
        <w:tblLayout w:type="fixed"/>
      </w:tblPr>
      <w:tcPr>
        <w:tcBorders>
          <w:tl2br w:val="nil"/>
          <w:tr2bl w:val="nil"/>
        </w:tcBorders>
        <w:shd w:val="pct20" w:color="000000" w:fill="FFFFFF"/>
      </w:tcPr>
    </w:tblStylePr>
    <w:tblStylePr w:type="band1Horz">
      <w:rPr>
        <w:color w:val="auto"/>
      </w:rPr>
      <w:tblPr>
        <w:tblLayout w:type="fixed"/>
      </w:tblPr>
      <w:tcPr>
        <w:tcBorders>
          <w:tl2br w:val="nil"/>
          <w:tr2bl w:val="nil"/>
        </w:tcBorders>
        <w:shd w:val="pct5" w:color="000000" w:fill="FFFFFF"/>
      </w:tcPr>
    </w:tblStylePr>
    <w:tblStylePr w:type="band2Horz">
      <w:rPr>
        <w:color w:val="auto"/>
      </w:rPr>
      <w:tblPr>
        <w:tblLayout w:type="fixed"/>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spacing w:after="160" w:line="278" w:lineRule="auto"/>
    </w:pPr>
    <w:rPr>
      <w:b/>
      <w:bCs/>
    </w:rPr>
    <w:tblPr>
      <w:tblBorders>
        <w:top w:val="single" w:color="000000" w:sz="12" w:space="0"/>
        <w:left w:val="single" w:color="000000" w:sz="12" w:space="0"/>
        <w:bottom w:val="single" w:color="000000" w:sz="12" w:space="0"/>
        <w:right w:val="single" w:color="000000" w:sz="12" w:space="0"/>
      </w:tblBorders>
      <w:tblLayout w:type="fixed"/>
    </w:tblPr>
    <w:tblStylePr w:type="firstRow">
      <w:rPr>
        <w:b w:val="0"/>
        <w:bCs w:val="0"/>
      </w:rPr>
      <w:tblPr>
        <w:tblLayout w:type="fixed"/>
      </w:tblPr>
      <w:tcPr>
        <w:tcBorders>
          <w:bottom w:val="double" w:color="000000" w:sz="6" w:space="0"/>
          <w:tl2br w:val="nil"/>
          <w:tr2bl w:val="nil"/>
        </w:tcBorders>
      </w:tcPr>
    </w:tblStylePr>
    <w:tblStylePr w:type="lastRow">
      <w:rPr>
        <w:b w:val="0"/>
        <w:bCs w:val="0"/>
      </w:rPr>
      <w:tblPr>
        <w:tblLayout w:type="fixed"/>
      </w:tblPr>
      <w:tcPr>
        <w:tcBorders>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17">
    <w:name w:val="Table Columns 2"/>
    <w:basedOn w:val="88"/>
    <w:semiHidden/>
    <w:unhideWhenUsed/>
    <w:qFormat/>
    <w:uiPriority w:val="99"/>
    <w:pPr>
      <w:widowControl w:val="0"/>
      <w:spacing w:after="160" w:line="278" w:lineRule="auto"/>
    </w:pPr>
    <w:rPr>
      <w:b/>
      <w:bCs/>
    </w:rPr>
    <w:tblPr>
      <w:tblStyleColBandSize w:val="1"/>
      <w:tblLayout w:type="fixed"/>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l2br w:val="nil"/>
          <w:tr2bl w:val="nil"/>
        </w:tcBorders>
      </w:tcPr>
    </w:tblStylePr>
    <w:tblStylePr w:type="firstCol">
      <w:rPr>
        <w:b w:val="0"/>
        <w:bCs w:val="0"/>
        <w:color w:val="00000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18">
    <w:name w:val="Table Columns 3"/>
    <w:basedOn w:val="88"/>
    <w:semiHidden/>
    <w:unhideWhenUsed/>
    <w:qFormat/>
    <w:uiPriority w:val="99"/>
    <w:pPr>
      <w:widowControl w:val="0"/>
      <w:spacing w:after="160" w:line="278"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op w:val="single" w:color="00008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l2br w:val="nil"/>
          <w:tr2bl w:val="nil"/>
        </w:tcBorders>
      </w:tcPr>
    </w:tblStylePr>
  </w:style>
  <w:style w:type="table" w:styleId="119">
    <w:name w:val="Table Columns 4"/>
    <w:basedOn w:val="88"/>
    <w:semiHidden/>
    <w:unhideWhenUsed/>
    <w:qFormat/>
    <w:uiPriority w:val="99"/>
    <w:pPr>
      <w:widowControl w:val="0"/>
      <w:spacing w:after="160" w:line="278" w:lineRule="auto"/>
    </w:pPr>
    <w:tblPr>
      <w:tblStyleColBandSize w:val="1"/>
      <w:tblLayout w:type="fixed"/>
    </w:tblPr>
    <w:tblStylePr w:type="firstRow">
      <w:rPr>
        <w:color w:val="FFFFFF"/>
      </w:rPr>
      <w:tblPr>
        <w:tblLayout w:type="fixed"/>
      </w:tblPr>
      <w:tcPr>
        <w:tcBorders>
          <w:tl2br w:val="nil"/>
          <w:tr2bl w:val="nil"/>
        </w:tcBorders>
        <w:shd w:val="solid" w:color="0000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20">
    <w:name w:val="Table Columns 5"/>
    <w:basedOn w:val="88"/>
    <w:semiHidden/>
    <w:unhideWhenUsed/>
    <w:qFormat/>
    <w:uiPriority w:val="99"/>
    <w:pPr>
      <w:widowControl w:val="0"/>
      <w:spacing w:after="160" w:line="278" w:lineRule="auto"/>
    </w:p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Pr>
    <w:tblStylePr w:type="firstRow">
      <w:rPr>
        <w:b/>
        <w:bCs/>
        <w:i/>
        <w:iCs/>
      </w:rPr>
      <w:tblPr>
        <w:tblLayout w:type="fixed"/>
      </w:tblPr>
      <w:tcPr>
        <w:tcBorders>
          <w:bottom w:val="single" w:color="808080" w:sz="6" w:space="0"/>
          <w:tl2br w:val="nil"/>
          <w:tr2bl w:val="nil"/>
        </w:tcBorders>
      </w:tcPr>
    </w:tblStylePr>
    <w:tblStylePr w:type="lastRow">
      <w:rPr>
        <w:b/>
        <w:bCs/>
      </w:rPr>
      <w:tblPr>
        <w:tblLayout w:type="fixed"/>
      </w:tblPr>
      <w:tcPr>
        <w:tcBorders>
          <w:top w:val="single" w:color="80808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2">
    <w:name w:val="Table Grid 2"/>
    <w:basedOn w:val="88"/>
    <w:semiHidden/>
    <w:unhideWhenUsed/>
    <w:qFormat/>
    <w:uiPriority w:val="99"/>
    <w:pPr>
      <w:widowControl w:val="0"/>
      <w:spacing w:after="160" w:line="278" w:lineRule="auto"/>
    </w:p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123">
    <w:name w:val="Table Grid 3"/>
    <w:basedOn w:val="88"/>
    <w:semiHidden/>
    <w:unhideWhenUsed/>
    <w:qFormat/>
    <w:uiPriority w:val="99"/>
    <w:pPr>
      <w:widowControl w:val="0"/>
      <w:spacing w:after="160" w:line="278" w:lineRule="auto"/>
    </w:p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4">
    <w:name w:val="Table Grid 4"/>
    <w:basedOn w:val="88"/>
    <w:semiHidden/>
    <w:unhideWhenUsed/>
    <w:qFormat/>
    <w:uiPriority w:val="99"/>
    <w:pPr>
      <w:widowControl w:val="0"/>
      <w:spacing w:after="160" w:line="278" w:lineRule="auto"/>
    </w:p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125">
    <w:name w:val="Table Grid 5"/>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6">
    <w:name w:val="Table Grid 6"/>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Pr>
    <w:tcPr>
      <w:shd w:val="clear" w:color="auto" w:fill="auto"/>
    </w:tcPr>
    <w:tblStylePr w:type="firstRow">
      <w:rPr>
        <w:b/>
        <w:b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7">
    <w:name w:val="Table Grid 7"/>
    <w:basedOn w:val="88"/>
    <w:semiHidden/>
    <w:unhideWhenUsed/>
    <w:qFormat/>
    <w:uiPriority w:val="99"/>
    <w:pPr>
      <w:widowControl w:val="0"/>
      <w:spacing w:after="160" w:line="278"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b w:val="0"/>
        <w:bCs w:val="0"/>
      </w:rPr>
      <w:tblPr>
        <w:tblLayout w:type="fixed"/>
      </w:tblPr>
      <w:tcPr>
        <w:tcBorders>
          <w:bottom w:val="single" w:color="000000" w:sz="12" w:space="0"/>
          <w:tl2br w:val="nil"/>
          <w:tr2bl w:val="nil"/>
        </w:tcBorders>
      </w:tcPr>
    </w:tblStylePr>
    <w:tblStylePr w:type="lastRow">
      <w:rPr>
        <w:b w:val="0"/>
        <w:bCs w:val="0"/>
      </w:rPr>
      <w:tblPr>
        <w:tblLayout w:type="fixed"/>
      </w:tblPr>
      <w:tcPr>
        <w:tcBorders>
          <w:top w:val="single" w:color="00000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8">
    <w:name w:val="Table Grid 8"/>
    <w:basedOn w:val="88"/>
    <w:semiHidden/>
    <w:unhideWhenUsed/>
    <w:qFormat/>
    <w:uiPriority w:val="99"/>
    <w:pPr>
      <w:widowControl w:val="0"/>
      <w:spacing w:after="160" w:line="278"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Pr>
    <w:tcPr>
      <w:shd w:val="clear" w:color="auto" w:fill="auto"/>
    </w:tcPr>
    <w:tblStylePr w:type="firstRow">
      <w:rPr>
        <w:b/>
        <w:bCs/>
        <w:color w:val="FFFFFF"/>
      </w:rPr>
      <w:tblPr>
        <w:tblLayout w:type="fixed"/>
      </w:tblPr>
      <w:tcPr>
        <w:tcBorders>
          <w:tl2br w:val="nil"/>
          <w:tr2bl w:val="nil"/>
        </w:tcBorders>
        <w:shd w:val="solid" w:color="000080" w:fill="FFFFFF"/>
      </w:tcPr>
    </w:tblStylePr>
    <w:tblStylePr w:type="lastRow">
      <w:rPr>
        <w:b/>
        <w:bCs/>
        <w:color w:val="auto"/>
      </w:rPr>
      <w:tblPr>
        <w:tblLayout w:type="fixed"/>
      </w:tblPr>
      <w:tcPr>
        <w:tcBorders>
          <w:tl2br w:val="nil"/>
          <w:tr2bl w:val="nil"/>
        </w:tcBorders>
      </w:tcPr>
    </w:tblStylePr>
    <w:tblStylePr w:type="lastCol">
      <w:rPr>
        <w:b/>
        <w:bCs/>
        <w:color w:val="auto"/>
      </w:rPr>
      <w:tblPr>
        <w:tblLayout w:type="fixed"/>
      </w:tblPr>
      <w:tcPr>
        <w:tcBorders>
          <w:tl2br w:val="nil"/>
          <w:tr2bl w:val="nil"/>
        </w:tcBorders>
      </w:tcPr>
    </w:tblStylePr>
  </w:style>
  <w:style w:type="table" w:styleId="129">
    <w:name w:val="Table Web 1"/>
    <w:basedOn w:val="88"/>
    <w:semiHidden/>
    <w:unhideWhenUsed/>
    <w:qFormat/>
    <w:uiPriority w:val="99"/>
    <w:pPr>
      <w:widowControl w:val="0"/>
      <w:spacing w:after="160" w:line="278"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30">
    <w:name w:val="Table Web 2"/>
    <w:basedOn w:val="88"/>
    <w:semiHidden/>
    <w:unhideWhenUsed/>
    <w:qFormat/>
    <w:uiPriority w:val="99"/>
    <w:pPr>
      <w:widowControl w:val="0"/>
      <w:spacing w:after="160" w:line="278"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31">
    <w:name w:val="Table Web 3"/>
    <w:basedOn w:val="88"/>
    <w:semiHidden/>
    <w:unhideWhenUsed/>
    <w:qFormat/>
    <w:uiPriority w:val="99"/>
    <w:pPr>
      <w:widowControl w:val="0"/>
      <w:spacing w:after="160" w:line="278"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32">
    <w:name w:val="Table Professional"/>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firstRow">
      <w:rPr>
        <w:b/>
        <w:bCs/>
        <w:color w:val="auto"/>
      </w:rPr>
      <w:tblPr>
        <w:tblLayout w:type="fixed"/>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Layout w:type="fixed"/>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104862" w:themeColor="accent1" w:themeShade="BF"/>
    </w:rPr>
    <w:tblPr>
      <w:tblBorders>
        <w:top w:val="single" w:color="156082" w:themeColor="accent1" w:sz="8" w:space="0"/>
        <w:bottom w:val="single" w:color="156082" w:themeColor="accent1" w:sz="8" w:space="0"/>
      </w:tblBorders>
      <w:tblLayout w:type="fixed"/>
    </w:tblPr>
    <w:tblStylePr w:type="firstRow">
      <w:pPr>
        <w:spacing w:before="0" w:after="0" w:line="240" w:lineRule="auto"/>
      </w:pPr>
      <w:rPr>
        <w:b/>
        <w:bCs/>
      </w:rPr>
      <w:tblPr>
        <w:tblLayout w:type="fixed"/>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blLayout w:type="fixed"/>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2DEF2" w:themeFill="accent1" w:themeFillTint="3F"/>
      </w:tcPr>
    </w:tblStylePr>
    <w:tblStylePr w:type="band1Horz">
      <w:tblPr>
        <w:tblLayout w:type="fixed"/>
      </w:tblPr>
      <w:tcPr>
        <w:tcBorders>
          <w:left w:val="nil"/>
          <w:right w:val="nil"/>
          <w:insideH w:val="nil"/>
          <w:insideV w:val="nil"/>
        </w:tcBorders>
        <w:shd w:val="clear" w:color="auto" w:fill="B2DEF2" w:themeFill="accent1" w:themeFillTint="3F"/>
      </w:tcPr>
    </w:tblStylePr>
  </w:style>
  <w:style w:type="table" w:styleId="135">
    <w:name w:val="Light Shading Accent 2"/>
    <w:basedOn w:val="88"/>
    <w:semiHidden/>
    <w:unhideWhenUsed/>
    <w:qFormat/>
    <w:uiPriority w:val="60"/>
    <w:rPr>
      <w:color w:val="C04F15" w:themeColor="accent2" w:themeShade="BF"/>
    </w:rPr>
    <w:tblPr>
      <w:tblBorders>
        <w:top w:val="single" w:color="E97132" w:themeColor="accent2" w:sz="8" w:space="0"/>
        <w:bottom w:val="single" w:color="E97132" w:themeColor="accent2" w:sz="8" w:space="0"/>
      </w:tblBorders>
      <w:tblLayout w:type="fixed"/>
    </w:tblPr>
    <w:tblStylePr w:type="firstRow">
      <w:pPr>
        <w:spacing w:before="0" w:after="0" w:line="240" w:lineRule="auto"/>
      </w:pPr>
      <w:rPr>
        <w:b/>
        <w:bCs/>
      </w:rPr>
      <w:tblPr>
        <w:tblLayout w:type="fixed"/>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blLayout w:type="fixed"/>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9DBCC" w:themeFill="accent2" w:themeFillTint="3F"/>
      </w:tcPr>
    </w:tblStylePr>
    <w:tblStylePr w:type="band1Horz">
      <w:tblPr>
        <w:tblLayout w:type="fixed"/>
      </w:tblPr>
      <w:tcPr>
        <w:tcBorders>
          <w:left w:val="nil"/>
          <w:right w:val="nil"/>
          <w:insideH w:val="nil"/>
          <w:insideV w:val="nil"/>
        </w:tcBorders>
        <w:shd w:val="clear" w:color="auto" w:fill="F9DBCC" w:themeFill="accent2" w:themeFillTint="3F"/>
      </w:tcPr>
    </w:tblStylePr>
  </w:style>
  <w:style w:type="table" w:styleId="136">
    <w:name w:val="Light Shading Accent 3"/>
    <w:basedOn w:val="88"/>
    <w:semiHidden/>
    <w:unhideWhenUsed/>
    <w:qFormat/>
    <w:uiPriority w:val="60"/>
    <w:rPr>
      <w:color w:val="13501B" w:themeColor="accent3" w:themeShade="BF"/>
    </w:rPr>
    <w:tblPr>
      <w:tblBorders>
        <w:top w:val="single" w:color="196B24" w:themeColor="accent3" w:sz="8" w:space="0"/>
        <w:bottom w:val="single" w:color="196B24" w:themeColor="accent3" w:sz="8" w:space="0"/>
      </w:tblBorders>
      <w:tblLayout w:type="fixed"/>
    </w:tblPr>
    <w:tblStylePr w:type="firstRow">
      <w:pPr>
        <w:spacing w:before="0" w:after="0" w:line="240" w:lineRule="auto"/>
      </w:pPr>
      <w:rPr>
        <w:b/>
        <w:bCs/>
      </w:rPr>
      <w:tblPr>
        <w:tblLayout w:type="fixed"/>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3EDBB" w:themeFill="accent3" w:themeFillTint="3F"/>
      </w:tcPr>
    </w:tblStylePr>
    <w:tblStylePr w:type="band1Horz">
      <w:tblPr>
        <w:tblLayout w:type="fixed"/>
      </w:tblPr>
      <w:tcPr>
        <w:tcBorders>
          <w:left w:val="nil"/>
          <w:right w:val="nil"/>
          <w:insideH w:val="nil"/>
          <w:insideV w:val="nil"/>
        </w:tcBorders>
        <w:shd w:val="clear" w:color="auto" w:fill="B3EDBB" w:themeFill="accent3" w:themeFillTint="3F"/>
      </w:tcPr>
    </w:tblStylePr>
  </w:style>
  <w:style w:type="table" w:styleId="137">
    <w:name w:val="Light Shading Accent 4"/>
    <w:basedOn w:val="88"/>
    <w:semiHidden/>
    <w:unhideWhenUsed/>
    <w:qFormat/>
    <w:uiPriority w:val="60"/>
    <w:rPr>
      <w:color w:val="0B76A0" w:themeColor="accent4" w:themeShade="BF"/>
    </w:rPr>
    <w:tblPr>
      <w:tblBorders>
        <w:top w:val="single" w:color="0F9ED5" w:themeColor="accent4" w:sz="8" w:space="0"/>
        <w:bottom w:val="single" w:color="0F9ED5" w:themeColor="accent4" w:sz="8" w:space="0"/>
      </w:tblBorders>
      <w:tblLayout w:type="fixed"/>
    </w:tblPr>
    <w:tblStylePr w:type="firstRow">
      <w:pPr>
        <w:spacing w:before="0" w:after="0" w:line="240" w:lineRule="auto"/>
      </w:pPr>
      <w:rPr>
        <w:b/>
        <w:bCs/>
      </w:rPr>
      <w:tblPr>
        <w:tblLayout w:type="fixed"/>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blLayout w:type="fixed"/>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DE9FA" w:themeFill="accent4" w:themeFillTint="3F"/>
      </w:tcPr>
    </w:tblStylePr>
    <w:tblStylePr w:type="band1Horz">
      <w:tblPr>
        <w:tblLayout w:type="fixed"/>
      </w:tblPr>
      <w:tcPr>
        <w:tcBorders>
          <w:left w:val="nil"/>
          <w:right w:val="nil"/>
          <w:insideH w:val="nil"/>
          <w:insideV w:val="nil"/>
        </w:tcBorders>
        <w:shd w:val="clear" w:color="auto" w:fill="BDE9FA" w:themeFill="accent4" w:themeFillTint="3F"/>
      </w:tcPr>
    </w:tblStylePr>
  </w:style>
  <w:style w:type="table" w:styleId="138">
    <w:name w:val="Light Shading Accent 5"/>
    <w:basedOn w:val="88"/>
    <w:semiHidden/>
    <w:unhideWhenUsed/>
    <w:qFormat/>
    <w:uiPriority w:val="60"/>
    <w:rPr>
      <w:color w:val="78206E" w:themeColor="accent5" w:themeShade="BF"/>
    </w:rPr>
    <w:tblPr>
      <w:tblBorders>
        <w:top w:val="single" w:color="A02B93" w:themeColor="accent5" w:sz="8" w:space="0"/>
        <w:bottom w:val="single" w:color="A02B93" w:themeColor="accent5" w:sz="8" w:space="0"/>
      </w:tblBorders>
      <w:tblLayout w:type="fixed"/>
    </w:tblPr>
    <w:tblStylePr w:type="firstRow">
      <w:pPr>
        <w:spacing w:before="0" w:after="0" w:line="240" w:lineRule="auto"/>
      </w:pPr>
      <w:rPr>
        <w:b/>
        <w:bCs/>
      </w:rPr>
      <w:tblPr>
        <w:tblLayout w:type="fixed"/>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EC3EA" w:themeFill="accent5" w:themeFillTint="3F"/>
      </w:tcPr>
    </w:tblStylePr>
    <w:tblStylePr w:type="band1Horz">
      <w:tblPr>
        <w:tblLayout w:type="fixed"/>
      </w:tblPr>
      <w:tcPr>
        <w:tcBorders>
          <w:left w:val="nil"/>
          <w:right w:val="nil"/>
          <w:insideH w:val="nil"/>
          <w:insideV w:val="nil"/>
        </w:tcBorders>
        <w:shd w:val="clear" w:color="auto" w:fill="EEC3EA" w:themeFill="accent5" w:themeFillTint="3F"/>
      </w:tcPr>
    </w:tblStylePr>
  </w:style>
  <w:style w:type="table" w:styleId="139">
    <w:name w:val="Light Shading Accent 6"/>
    <w:basedOn w:val="88"/>
    <w:semiHidden/>
    <w:unhideWhenUsed/>
    <w:qFormat/>
    <w:uiPriority w:val="60"/>
    <w:rPr>
      <w:color w:val="3B7D23" w:themeColor="accent6" w:themeShade="BF"/>
    </w:rPr>
    <w:tblPr>
      <w:tblBorders>
        <w:top w:val="single" w:color="4EA72E" w:themeColor="accent6" w:sz="8" w:space="0"/>
        <w:bottom w:val="single" w:color="4EA72E" w:themeColor="accent6" w:sz="8" w:space="0"/>
      </w:tblBorders>
      <w:tblLayout w:type="fixed"/>
    </w:tblPr>
    <w:tblStylePr w:type="firstRow">
      <w:pPr>
        <w:spacing w:before="0" w:after="0" w:line="240" w:lineRule="auto"/>
      </w:pPr>
      <w:rPr>
        <w:b/>
        <w:bCs/>
      </w:rPr>
      <w:tblPr>
        <w:tblLayout w:type="fixed"/>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blLayout w:type="fixed"/>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0EFC5" w:themeFill="accent6" w:themeFillTint="3F"/>
      </w:tcPr>
    </w:tblStylePr>
    <w:tblStylePr w:type="band1Horz">
      <w:tblPr>
        <w:tblLayout w:type="fixed"/>
      </w:tblPr>
      <w:tcPr>
        <w:tcBorders>
          <w:left w:val="nil"/>
          <w:right w:val="nil"/>
          <w:insideH w:val="nil"/>
          <w:insideV w:val="nil"/>
        </w:tcBorders>
        <w:shd w:val="clear" w:color="auto" w:fill="D0EFC5"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0000" w:themeFill="text1"/>
      </w:tcPr>
    </w:tblStylePr>
    <w:tblStylePr w:type="lastRow">
      <w:pPr>
        <w:spacing w:before="0" w:after="0" w:line="240" w:lineRule="auto"/>
      </w:pPr>
      <w:rPr>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156082" w:themeColor="accent1" w:sz="8" w:space="0"/>
        <w:left w:val="single" w:color="156082" w:themeColor="accent1" w:sz="8" w:space="0"/>
        <w:bottom w:val="single" w:color="156082" w:themeColor="accent1" w:sz="8" w:space="0"/>
        <w:right w:val="single" w:color="156082" w:themeColor="accent1"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156082" w:themeFill="accent1"/>
      </w:tcPr>
    </w:tblStylePr>
    <w:tblStylePr w:type="lastRow">
      <w:pPr>
        <w:spacing w:before="0" w:after="0" w:line="240" w:lineRule="auto"/>
      </w:pPr>
      <w:rPr>
        <w:b/>
        <w:bCs/>
      </w:rPr>
      <w:tblPr>
        <w:tblLayout w:type="fixed"/>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blLayout w:type="fixed"/>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blLayout w:type="fixed"/>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142">
    <w:name w:val="Light List Accent 2"/>
    <w:basedOn w:val="88"/>
    <w:semiHidden/>
    <w:unhideWhenUsed/>
    <w:qFormat/>
    <w:uiPriority w:val="61"/>
    <w:tblPr>
      <w:tblBorders>
        <w:top w:val="single" w:color="E97132" w:themeColor="accent2" w:sz="8" w:space="0"/>
        <w:left w:val="single" w:color="E97132" w:themeColor="accent2" w:sz="8" w:space="0"/>
        <w:bottom w:val="single" w:color="E97132" w:themeColor="accent2" w:sz="8" w:space="0"/>
        <w:right w:val="single" w:color="E97132" w:themeColor="accent2"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E97132" w:themeFill="accent2"/>
      </w:tcPr>
    </w:tblStylePr>
    <w:tblStylePr w:type="lastRow">
      <w:pPr>
        <w:spacing w:before="0" w:after="0" w:line="240" w:lineRule="auto"/>
      </w:pPr>
      <w:rPr>
        <w:b/>
        <w:bCs/>
      </w:rPr>
      <w:tblPr>
        <w:tblLayout w:type="fixed"/>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blLayout w:type="fixed"/>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blLayout w:type="fixed"/>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143">
    <w:name w:val="Light List Accent 3"/>
    <w:basedOn w:val="88"/>
    <w:semiHidden/>
    <w:unhideWhenUsed/>
    <w:qFormat/>
    <w:uiPriority w:val="61"/>
    <w:tblPr>
      <w:tblBorders>
        <w:top w:val="single" w:color="196B24" w:themeColor="accent3" w:sz="8" w:space="0"/>
        <w:left w:val="single" w:color="196B24" w:themeColor="accent3" w:sz="8" w:space="0"/>
        <w:bottom w:val="single" w:color="196B24" w:themeColor="accent3" w:sz="8" w:space="0"/>
        <w:right w:val="single" w:color="196B24" w:themeColor="accent3"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196B24" w:themeFill="accent3"/>
      </w:tcPr>
    </w:tblStylePr>
    <w:tblStylePr w:type="lastRow">
      <w:pPr>
        <w:spacing w:before="0" w:after="0" w:line="240" w:lineRule="auto"/>
      </w:pPr>
      <w:rPr>
        <w:b/>
        <w:bCs/>
      </w:rPr>
      <w:tblPr>
        <w:tblLayout w:type="fixed"/>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blLayout w:type="fixed"/>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blLayout w:type="fixed"/>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144">
    <w:name w:val="Light List Accent 4"/>
    <w:basedOn w:val="88"/>
    <w:semiHidden/>
    <w:unhideWhenUsed/>
    <w:qFormat/>
    <w:uiPriority w:val="61"/>
    <w:tblPr>
      <w:tblBorders>
        <w:top w:val="single" w:color="0F9ED5" w:themeColor="accent4" w:sz="8" w:space="0"/>
        <w:left w:val="single" w:color="0F9ED5" w:themeColor="accent4" w:sz="8" w:space="0"/>
        <w:bottom w:val="single" w:color="0F9ED5" w:themeColor="accent4" w:sz="8" w:space="0"/>
        <w:right w:val="single" w:color="0F9ED5" w:themeColor="accent4"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F9ED5" w:themeFill="accent4"/>
      </w:tcPr>
    </w:tblStylePr>
    <w:tblStylePr w:type="lastRow">
      <w:pPr>
        <w:spacing w:before="0" w:after="0" w:line="240" w:lineRule="auto"/>
      </w:pPr>
      <w:rPr>
        <w:b/>
        <w:bCs/>
      </w:rPr>
      <w:tblPr>
        <w:tblLayout w:type="fixed"/>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blLayout w:type="fixed"/>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blLayout w:type="fixed"/>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145">
    <w:name w:val="Light List Accent 5"/>
    <w:basedOn w:val="88"/>
    <w:semiHidden/>
    <w:unhideWhenUsed/>
    <w:qFormat/>
    <w:uiPriority w:val="61"/>
    <w:tblPr>
      <w:tblBorders>
        <w:top w:val="single" w:color="A02B93" w:themeColor="accent5" w:sz="8" w:space="0"/>
        <w:left w:val="single" w:color="A02B93" w:themeColor="accent5" w:sz="8" w:space="0"/>
        <w:bottom w:val="single" w:color="A02B93" w:themeColor="accent5" w:sz="8" w:space="0"/>
        <w:right w:val="single" w:color="A02B93" w:themeColor="accent5"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A02B93" w:themeFill="accent5"/>
      </w:tcPr>
    </w:tblStylePr>
    <w:tblStylePr w:type="lastRow">
      <w:pPr>
        <w:spacing w:before="0" w:after="0" w:line="240" w:lineRule="auto"/>
      </w:pPr>
      <w:rPr>
        <w:b/>
        <w:bCs/>
      </w:rPr>
      <w:tblPr>
        <w:tblLayout w:type="fixed"/>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blLayout w:type="fixed"/>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blLayout w:type="fixed"/>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146">
    <w:name w:val="Light List Accent 6"/>
    <w:basedOn w:val="88"/>
    <w:semiHidden/>
    <w:unhideWhenUsed/>
    <w:qFormat/>
    <w:uiPriority w:val="61"/>
    <w:tblPr>
      <w:tblBorders>
        <w:top w:val="single" w:color="4EA72E" w:themeColor="accent6" w:sz="8" w:space="0"/>
        <w:left w:val="single" w:color="4EA72E" w:themeColor="accent6" w:sz="8" w:space="0"/>
        <w:bottom w:val="single" w:color="4EA72E" w:themeColor="accent6" w:sz="8" w:space="0"/>
        <w:right w:val="single" w:color="4EA72E" w:themeColor="accent6"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EA72E" w:themeFill="accent6"/>
      </w:tcPr>
    </w:tblStylePr>
    <w:tblStylePr w:type="lastRow">
      <w:pPr>
        <w:spacing w:before="0" w:after="0" w:line="240" w:lineRule="auto"/>
      </w:pPr>
      <w:rPr>
        <w:b/>
        <w:bCs/>
      </w:rPr>
      <w:tblPr>
        <w:tblLayout w:type="fixed"/>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blLayout w:type="fixed"/>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blLayout w:type="fixed"/>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blLayout w:type="fixed"/>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blLayout w:type="fixed"/>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sz="8" w:space="0"/>
        </w:tcBorders>
        <w:shd w:val="clear" w:color="auto" w:fill="B2DEF2" w:themeFill="accent1" w:themeFillTint="3F"/>
      </w:tcPr>
    </w:tblStylePr>
    <w:tblStylePr w:type="band2Horz">
      <w:tblPr>
        <w:tblLayout w:type="fixed"/>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sz="8" w:space="0"/>
        </w:tcBorders>
      </w:tcPr>
    </w:tblStylePr>
  </w:style>
  <w:style w:type="table" w:styleId="149">
    <w:name w:val="Light Grid Accent 2"/>
    <w:basedOn w:val="88"/>
    <w:semiHidden/>
    <w:unhideWhenUsed/>
    <w:qFormat/>
    <w:uiPriority w:val="62"/>
    <w:tblPr>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blLayout w:type="fixed"/>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blLayout w:type="fixed"/>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sz="8" w:space="0"/>
        </w:tcBorders>
        <w:shd w:val="clear" w:color="auto" w:fill="F9DBCC" w:themeFill="accent2" w:themeFillTint="3F"/>
      </w:tcPr>
    </w:tblStylePr>
    <w:tblStylePr w:type="band2Horz">
      <w:tblPr>
        <w:tblLayout w:type="fixed"/>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sz="8" w:space="0"/>
        </w:tcBorders>
      </w:tcPr>
    </w:tblStylePr>
  </w:style>
  <w:style w:type="table" w:styleId="150">
    <w:name w:val="Light Grid Accent 3"/>
    <w:basedOn w:val="88"/>
    <w:semiHidden/>
    <w:unhideWhenUsed/>
    <w:qFormat/>
    <w:uiPriority w:val="62"/>
    <w:tblPr>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blLayout w:type="fixed"/>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B" w:themeFill="accent3" w:themeFillTint="3F"/>
      </w:tcPr>
    </w:tblStylePr>
    <w:tblStylePr w:type="band1Horz">
      <w:tblPr>
        <w:tblLayout w:type="fixed"/>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sz="8" w:space="0"/>
        </w:tcBorders>
        <w:shd w:val="clear" w:color="auto" w:fill="B3EDBB" w:themeFill="accent3" w:themeFillTint="3F"/>
      </w:tcPr>
    </w:tblStylePr>
    <w:tblStylePr w:type="band2Horz">
      <w:tblPr>
        <w:tblLayout w:type="fixed"/>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sz="8" w:space="0"/>
        </w:tcBorders>
      </w:tcPr>
    </w:tblStylePr>
  </w:style>
  <w:style w:type="table" w:styleId="151">
    <w:name w:val="Light Grid Accent 4"/>
    <w:basedOn w:val="88"/>
    <w:semiHidden/>
    <w:unhideWhenUsed/>
    <w:qFormat/>
    <w:uiPriority w:val="62"/>
    <w:tblPr>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blLayout w:type="fixed"/>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blLayout w:type="fixed"/>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sz="8" w:space="0"/>
        </w:tcBorders>
        <w:shd w:val="clear" w:color="auto" w:fill="BDE9FA" w:themeFill="accent4" w:themeFillTint="3F"/>
      </w:tcPr>
    </w:tblStylePr>
    <w:tblStylePr w:type="band2Horz">
      <w:tblPr>
        <w:tblLayout w:type="fixed"/>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sz="8" w:space="0"/>
        </w:tcBorders>
      </w:tcPr>
    </w:tblStylePr>
  </w:style>
  <w:style w:type="table" w:styleId="152">
    <w:name w:val="Light Grid Accent 5"/>
    <w:basedOn w:val="88"/>
    <w:semiHidden/>
    <w:unhideWhenUsed/>
    <w:qFormat/>
    <w:uiPriority w:val="62"/>
    <w:tblPr>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blLayout w:type="fixed"/>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EC3EA" w:themeFill="accent5" w:themeFillTint="3F"/>
      </w:tcPr>
    </w:tblStylePr>
    <w:tblStylePr w:type="band1Horz">
      <w:tblPr>
        <w:tblLayout w:type="fixed"/>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sz="8" w:space="0"/>
        </w:tcBorders>
        <w:shd w:val="clear" w:color="auto" w:fill="EEC3EA" w:themeFill="accent5" w:themeFillTint="3F"/>
      </w:tcPr>
    </w:tblStylePr>
    <w:tblStylePr w:type="band2Horz">
      <w:tblPr>
        <w:tblLayout w:type="fixed"/>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sz="8" w:space="0"/>
        </w:tcBorders>
      </w:tcPr>
    </w:tblStylePr>
  </w:style>
  <w:style w:type="table" w:styleId="153">
    <w:name w:val="Light Grid Accent 6"/>
    <w:basedOn w:val="88"/>
    <w:semiHidden/>
    <w:unhideWhenUsed/>
    <w:qFormat/>
    <w:uiPriority w:val="62"/>
    <w:tblPr>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blLayout w:type="fixed"/>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blLayout w:type="fixed"/>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sz="8" w:space="0"/>
        </w:tcBorders>
        <w:shd w:val="clear" w:color="auto" w:fill="D0EFC5" w:themeFill="accent6" w:themeFillTint="3F"/>
      </w:tcPr>
    </w:tblStylePr>
    <w:tblStylePr w:type="band2Horz">
      <w:tblPr>
        <w:tblLayout w:type="fixed"/>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blLayout w:type="fixed"/>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FBFBF" w:themeFill="text1" w:themeFillTint="3F"/>
      </w:tcPr>
    </w:tblStylePr>
    <w:tblStylePr w:type="band1Horz">
      <w:tblPr>
        <w:tblLayout w:type="fixed"/>
      </w:tblPr>
      <w:tcPr>
        <w:tcBorders>
          <w:insideH w:val="nil"/>
          <w:insideV w:val="nil"/>
        </w:tcBorders>
        <w:shd w:val="clear" w:color="auto" w:fill="BFBFBF" w:themeFill="text1" w:themeFillTint="3F"/>
      </w:tcPr>
    </w:tblStylePr>
    <w:tblStylePr w:type="band2Horz">
      <w:tblPr>
        <w:tblLayout w:type="fixed"/>
      </w:tblPr>
      <w:tcPr>
        <w:tcBorders>
          <w:insideH w:val="nil"/>
          <w:insideV w:val="nil"/>
        </w:tcBorders>
      </w:tcPr>
    </w:tblStylePr>
  </w:style>
  <w:style w:type="table" w:styleId="155">
    <w:name w:val="Medium Shading 1 Accent 1"/>
    <w:basedOn w:val="88"/>
    <w:semiHidden/>
    <w:unhideWhenUsed/>
    <w:qFormat/>
    <w:uiPriority w:val="63"/>
    <w:tblPr>
      <w:tblBorders>
        <w:top w:val="single" w:color="2199CF" w:themeColor="accent1" w:themeTint="BF" w:sz="8" w:space="0"/>
        <w:left w:val="single" w:color="2199CF" w:themeColor="accent1" w:themeTint="BF" w:sz="8" w:space="0"/>
        <w:bottom w:val="single" w:color="2199CF" w:themeColor="accent1" w:themeTint="BF" w:sz="8" w:space="0"/>
        <w:right w:val="single" w:color="2199CF" w:themeColor="accent1" w:themeTint="BF" w:sz="8" w:space="0"/>
        <w:insideH w:val="single" w:color="2199CF" w:themeColor="accent1"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2199CF" w:themeColor="accent1" w:themeTint="BF" w:sz="8" w:space="0"/>
          <w:left w:val="single" w:color="2199CF" w:themeColor="accent1" w:themeTint="BF" w:sz="8" w:space="0"/>
          <w:bottom w:val="single" w:color="2199CF" w:themeColor="accent1" w:themeTint="BF" w:sz="8" w:space="0"/>
          <w:right w:val="single" w:color="2199CF" w:themeColor="accent1" w:themeTint="BF" w:sz="8" w:space="0"/>
          <w:insideH w:val="nil"/>
          <w:insideV w:val="nil"/>
        </w:tcBorders>
        <w:shd w:val="clear" w:color="auto" w:fill="156082" w:themeFill="accent1"/>
      </w:tcPr>
    </w:tblStylePr>
    <w:tblStylePr w:type="lastRow">
      <w:pPr>
        <w:spacing w:before="0" w:after="0" w:line="240" w:lineRule="auto"/>
      </w:pPr>
      <w:rPr>
        <w:b/>
        <w:bCs/>
      </w:rPr>
      <w:tblPr>
        <w:tblLayout w:type="fixed"/>
      </w:tblPr>
      <w:tcPr>
        <w:tcBorders>
          <w:top w:val="double" w:color="2199CF" w:themeColor="accent1" w:themeTint="BF" w:sz="6" w:space="0"/>
          <w:left w:val="single" w:color="2199CF" w:themeColor="accent1" w:themeTint="BF" w:sz="8" w:space="0"/>
          <w:bottom w:val="single" w:color="2199CF" w:themeColor="accent1" w:themeTint="BF" w:sz="8" w:space="0"/>
          <w:right w:val="single" w:color="2199CF" w:themeColor="accen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2DEF2" w:themeFill="accent1" w:themeFillTint="3F"/>
      </w:tcPr>
    </w:tblStylePr>
    <w:tblStylePr w:type="band1Horz">
      <w:tblPr>
        <w:tblLayout w:type="fixed"/>
      </w:tblPr>
      <w:tcPr>
        <w:tcBorders>
          <w:insideH w:val="nil"/>
          <w:insideV w:val="nil"/>
        </w:tcBorders>
        <w:shd w:val="clear" w:color="auto" w:fill="B2DEF2" w:themeFill="accent1" w:themeFillTint="3F"/>
      </w:tcPr>
    </w:tblStylePr>
    <w:tblStylePr w:type="band2Horz">
      <w:tblPr>
        <w:tblLayout w:type="fixed"/>
      </w:tblPr>
      <w:tcPr>
        <w:tcBorders>
          <w:insideH w:val="nil"/>
          <w:insideV w:val="nil"/>
        </w:tcBorders>
      </w:tcPr>
    </w:tblStylePr>
  </w:style>
  <w:style w:type="table" w:styleId="156">
    <w:name w:val="Medium Shading 1 Accent 2"/>
    <w:basedOn w:val="88"/>
    <w:semiHidden/>
    <w:unhideWhenUsed/>
    <w:qFormat/>
    <w:uiPriority w:val="63"/>
    <w:tblPr>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blLayout w:type="fixed"/>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9DBCC" w:themeFill="accent2" w:themeFillTint="3F"/>
      </w:tcPr>
    </w:tblStylePr>
    <w:tblStylePr w:type="band1Horz">
      <w:tblPr>
        <w:tblLayout w:type="fixed"/>
      </w:tblPr>
      <w:tcPr>
        <w:tcBorders>
          <w:insideH w:val="nil"/>
          <w:insideV w:val="nil"/>
        </w:tcBorders>
        <w:shd w:val="clear" w:color="auto" w:fill="F9DBCC" w:themeFill="accent2" w:themeFillTint="3F"/>
      </w:tcPr>
    </w:tblStylePr>
    <w:tblStylePr w:type="band2Horz">
      <w:tblPr>
        <w:tblLayout w:type="fixed"/>
      </w:tblPr>
      <w:tcPr>
        <w:tcBorders>
          <w:insideH w:val="nil"/>
          <w:insideV w:val="nil"/>
        </w:tcBorders>
      </w:tcPr>
    </w:tblStylePr>
  </w:style>
  <w:style w:type="table" w:styleId="157">
    <w:name w:val="Medium Shading 1 Accent 3"/>
    <w:basedOn w:val="88"/>
    <w:semiHidden/>
    <w:unhideWhenUsed/>
    <w:qFormat/>
    <w:uiPriority w:val="63"/>
    <w:tblPr>
      <w:tblBorders>
        <w:top w:val="single" w:color="2AB73D" w:themeColor="accent3" w:themeTint="BF" w:sz="8" w:space="0"/>
        <w:left w:val="single" w:color="2AB73D" w:themeColor="accent3" w:themeTint="BF" w:sz="8" w:space="0"/>
        <w:bottom w:val="single" w:color="2AB73D" w:themeColor="accent3" w:themeTint="BF" w:sz="8" w:space="0"/>
        <w:right w:val="single" w:color="2AB73D" w:themeColor="accent3" w:themeTint="BF" w:sz="8" w:space="0"/>
        <w:insideH w:val="single" w:color="2AB73D" w:themeColor="accent3"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2AB73D" w:themeColor="accent3" w:themeTint="BF" w:sz="8" w:space="0"/>
          <w:left w:val="single" w:color="2AB73D" w:themeColor="accent3" w:themeTint="BF" w:sz="8" w:space="0"/>
          <w:bottom w:val="single" w:color="2AB73D" w:themeColor="accent3" w:themeTint="BF" w:sz="8" w:space="0"/>
          <w:right w:val="single" w:color="2A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blLayout w:type="fixed"/>
      </w:tblPr>
      <w:tcPr>
        <w:tcBorders>
          <w:top w:val="double" w:color="2AB73D" w:themeColor="accent3" w:themeTint="BF" w:sz="6" w:space="0"/>
          <w:left w:val="single" w:color="2AB73D" w:themeColor="accent3" w:themeTint="BF" w:sz="8" w:space="0"/>
          <w:bottom w:val="single" w:color="2AB73D" w:themeColor="accent3" w:themeTint="BF" w:sz="8" w:space="0"/>
          <w:right w:val="single" w:color="2AB73D" w:themeColor="accent3"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3EDBB" w:themeFill="accent3" w:themeFillTint="3F"/>
      </w:tcPr>
    </w:tblStylePr>
    <w:tblStylePr w:type="band1Horz">
      <w:tblPr>
        <w:tblLayout w:type="fixed"/>
      </w:tblPr>
      <w:tcPr>
        <w:tcBorders>
          <w:insideH w:val="nil"/>
          <w:insideV w:val="nil"/>
        </w:tcBorders>
        <w:shd w:val="clear" w:color="auto" w:fill="B3EDBB" w:themeFill="accent3" w:themeFillTint="3F"/>
      </w:tcPr>
    </w:tblStylePr>
    <w:tblStylePr w:type="band2Horz">
      <w:tblPr>
        <w:tblLayout w:type="fixed"/>
      </w:tblPr>
      <w:tcPr>
        <w:tcBorders>
          <w:insideH w:val="nil"/>
          <w:insideV w:val="nil"/>
        </w:tcBorders>
      </w:tcPr>
    </w:tblStylePr>
  </w:style>
  <w:style w:type="table" w:styleId="158">
    <w:name w:val="Medium Shading 1 Accent 4"/>
    <w:basedOn w:val="88"/>
    <w:semiHidden/>
    <w:unhideWhenUsed/>
    <w:qFormat/>
    <w:uiPriority w:val="63"/>
    <w:tblPr>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blLayout w:type="fixed"/>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DE9FA" w:themeFill="accent4" w:themeFillTint="3F"/>
      </w:tcPr>
    </w:tblStylePr>
    <w:tblStylePr w:type="band1Horz">
      <w:tblPr>
        <w:tblLayout w:type="fixed"/>
      </w:tblPr>
      <w:tcPr>
        <w:tcBorders>
          <w:insideH w:val="nil"/>
          <w:insideV w:val="nil"/>
        </w:tcBorders>
        <w:shd w:val="clear" w:color="auto" w:fill="BDE9FA" w:themeFill="accent4" w:themeFillTint="3F"/>
      </w:tcPr>
    </w:tblStylePr>
    <w:tblStylePr w:type="band2Horz">
      <w:tblPr>
        <w:tblLayout w:type="fixed"/>
      </w:tblPr>
      <w:tcPr>
        <w:tcBorders>
          <w:insideH w:val="nil"/>
          <w:insideV w:val="nil"/>
        </w:tcBorders>
      </w:tcPr>
    </w:tblStylePr>
  </w:style>
  <w:style w:type="table" w:styleId="159">
    <w:name w:val="Medium Shading 1 Accent 5"/>
    <w:basedOn w:val="88"/>
    <w:semiHidden/>
    <w:unhideWhenUsed/>
    <w:qFormat/>
    <w:uiPriority w:val="63"/>
    <w:tblPr>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blLayout w:type="fixed"/>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EC3EA" w:themeFill="accent5" w:themeFillTint="3F"/>
      </w:tcPr>
    </w:tblStylePr>
    <w:tblStylePr w:type="band1Horz">
      <w:tblPr>
        <w:tblLayout w:type="fixed"/>
      </w:tblPr>
      <w:tcPr>
        <w:tcBorders>
          <w:insideH w:val="nil"/>
          <w:insideV w:val="nil"/>
        </w:tcBorders>
        <w:shd w:val="clear" w:color="auto" w:fill="EEC3EA" w:themeFill="accent5" w:themeFillTint="3F"/>
      </w:tcPr>
    </w:tblStylePr>
    <w:tblStylePr w:type="band2Horz">
      <w:tblPr>
        <w:tblLayout w:type="fixed"/>
      </w:tblPr>
      <w:tcPr>
        <w:tcBorders>
          <w:insideH w:val="nil"/>
          <w:insideV w:val="nil"/>
        </w:tcBorders>
      </w:tcPr>
    </w:tblStylePr>
  </w:style>
  <w:style w:type="table" w:styleId="160">
    <w:name w:val="Medium Shading 1 Accent 6"/>
    <w:basedOn w:val="88"/>
    <w:semiHidden/>
    <w:unhideWhenUsed/>
    <w:qFormat/>
    <w:uiPriority w:val="63"/>
    <w:tblPr>
      <w:tblBorders>
        <w:top w:val="single" w:color="72CE50" w:themeColor="accent6" w:themeTint="BF" w:sz="8" w:space="0"/>
        <w:left w:val="single" w:color="72CE50" w:themeColor="accent6" w:themeTint="BF" w:sz="8" w:space="0"/>
        <w:bottom w:val="single" w:color="72CE50" w:themeColor="accent6" w:themeTint="BF" w:sz="8" w:space="0"/>
        <w:right w:val="single" w:color="72CE50" w:themeColor="accent6" w:themeTint="BF" w:sz="8" w:space="0"/>
        <w:insideH w:val="single" w:color="72CE50" w:themeColor="accent6"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2CE50" w:themeColor="accent6" w:themeTint="BF" w:sz="8" w:space="0"/>
          <w:left w:val="single" w:color="72CE50" w:themeColor="accent6" w:themeTint="BF" w:sz="8" w:space="0"/>
          <w:bottom w:val="single" w:color="72CE50" w:themeColor="accent6" w:themeTint="BF" w:sz="8" w:space="0"/>
          <w:right w:val="single" w:color="72CE50" w:themeColor="accent6" w:themeTint="BF" w:sz="8" w:space="0"/>
          <w:insideH w:val="nil"/>
          <w:insideV w:val="nil"/>
        </w:tcBorders>
        <w:shd w:val="clear" w:color="auto" w:fill="4EA72E" w:themeFill="accent6"/>
      </w:tcPr>
    </w:tblStylePr>
    <w:tblStylePr w:type="lastRow">
      <w:pPr>
        <w:spacing w:before="0" w:after="0" w:line="240" w:lineRule="auto"/>
      </w:pPr>
      <w:rPr>
        <w:b/>
        <w:bCs/>
      </w:rPr>
      <w:tblPr>
        <w:tblLayout w:type="fixed"/>
      </w:tblPr>
      <w:tcPr>
        <w:tcBorders>
          <w:top w:val="double" w:color="72CE50" w:themeColor="accent6" w:themeTint="BF" w:sz="6" w:space="0"/>
          <w:left w:val="single" w:color="72CE50" w:themeColor="accent6" w:themeTint="BF" w:sz="8" w:space="0"/>
          <w:bottom w:val="single" w:color="72CE50" w:themeColor="accent6" w:themeTint="BF" w:sz="8" w:space="0"/>
          <w:right w:val="single" w:color="72CE50" w:themeColor="accent6"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0EFC5" w:themeFill="accent6" w:themeFillTint="3F"/>
      </w:tcPr>
    </w:tblStylePr>
    <w:tblStylePr w:type="band1Horz">
      <w:tblPr>
        <w:tblLayout w:type="fixed"/>
      </w:tblPr>
      <w:tcPr>
        <w:tcBorders>
          <w:insideH w:val="nil"/>
          <w:insideV w:val="nil"/>
        </w:tcBorders>
        <w:shd w:val="clear" w:color="auto" w:fill="D0EFC5" w:themeFill="accent6" w:themeFillTint="3F"/>
      </w:tcPr>
    </w:tblStylePr>
    <w:tblStylePr w:type="band2Horz">
      <w:tblPr>
        <w:tblLayout w:type="fixed"/>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00000" w:themeFill="tex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156082" w:themeFill="accen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E97132" w:themeFill="accent2"/>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196B24" w:themeFill="accent3"/>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F9ED5" w:themeFill="accent4"/>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A02B93" w:themeFill="accent5"/>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EA72E" w:themeFill="accent6"/>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0E2841" w:themeColor="text2"/>
        <w14:textFill>
          <w14:solidFill>
            <w14:schemeClr w14:val="tx2"/>
          </w14:solidFill>
        </w14:textFill>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156082" w:themeColor="accent1" w:sz="8" w:space="0"/>
        <w:bottom w:val="single" w:color="156082" w:themeColor="accent1"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156082" w:themeColor="accent1" w:sz="8" w:space="0"/>
        </w:tcBorders>
      </w:tcPr>
    </w:tblStylePr>
    <w:tblStylePr w:type="lastRow">
      <w:rPr>
        <w:b/>
        <w:bCs/>
        <w:color w:val="0E2841" w:themeColor="text2"/>
        <w14:textFill>
          <w14:solidFill>
            <w14:schemeClr w14:val="tx2"/>
          </w14:solidFill>
        </w14:textFill>
      </w:rPr>
      <w:tblPr>
        <w:tblLayout w:type="fixed"/>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blLayout w:type="fixed"/>
      </w:tblPr>
      <w:tcPr>
        <w:tcBorders>
          <w:top w:val="single" w:color="156082" w:themeColor="accent1" w:sz="8" w:space="0"/>
          <w:bottom w:val="single" w:color="156082" w:themeColor="accent1" w:sz="8" w:space="0"/>
        </w:tcBorders>
      </w:tcPr>
    </w:tblStylePr>
    <w:tblStylePr w:type="band1Vert">
      <w:tblPr>
        <w:tblLayout w:type="fixed"/>
      </w:tblPr>
      <w:tcPr>
        <w:shd w:val="clear" w:color="auto" w:fill="B2DEF2" w:themeFill="accent1" w:themeFillTint="3F"/>
      </w:tcPr>
    </w:tblStylePr>
    <w:tblStylePr w:type="band1Horz">
      <w:tblPr>
        <w:tblLayout w:type="fixed"/>
      </w:tblPr>
      <w:tcPr>
        <w:shd w:val="clear" w:color="auto" w:fill="B2DEF2"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97132" w:themeColor="accent2" w:sz="8" w:space="0"/>
        <w:bottom w:val="single" w:color="E97132" w:themeColor="accent2"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E97132" w:themeColor="accent2" w:sz="8" w:space="0"/>
        </w:tcBorders>
      </w:tcPr>
    </w:tblStylePr>
    <w:tblStylePr w:type="lastRow">
      <w:rPr>
        <w:b/>
        <w:bCs/>
        <w:color w:val="0E2841" w:themeColor="text2"/>
        <w14:textFill>
          <w14:solidFill>
            <w14:schemeClr w14:val="tx2"/>
          </w14:solidFill>
        </w14:textFill>
      </w:rPr>
      <w:tblPr>
        <w:tblLayout w:type="fixed"/>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blLayout w:type="fixed"/>
      </w:tblPr>
      <w:tcPr>
        <w:tcBorders>
          <w:top w:val="single" w:color="E97132" w:themeColor="accent2" w:sz="8" w:space="0"/>
          <w:bottom w:val="single" w:color="E97132" w:themeColor="accent2" w:sz="8" w:space="0"/>
        </w:tcBorders>
      </w:tcPr>
    </w:tblStylePr>
    <w:tblStylePr w:type="band1Vert">
      <w:tblPr>
        <w:tblLayout w:type="fixed"/>
      </w:tblPr>
      <w:tcPr>
        <w:shd w:val="clear" w:color="auto" w:fill="F9DBCC" w:themeFill="accent2" w:themeFillTint="3F"/>
      </w:tcPr>
    </w:tblStylePr>
    <w:tblStylePr w:type="band1Horz">
      <w:tblPr>
        <w:tblLayout w:type="fixed"/>
      </w:tblPr>
      <w:tcPr>
        <w:shd w:val="clear" w:color="auto" w:fill="F9DB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196B24" w:themeColor="accent3" w:sz="8" w:space="0"/>
        <w:bottom w:val="single" w:color="196B24" w:themeColor="accent3"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196B24" w:themeColor="accent3" w:sz="8" w:space="0"/>
        </w:tcBorders>
      </w:tcPr>
    </w:tblStylePr>
    <w:tblStylePr w:type="lastRow">
      <w:rPr>
        <w:b/>
        <w:bCs/>
        <w:color w:val="0E2841" w:themeColor="text2"/>
        <w14:textFill>
          <w14:solidFill>
            <w14:schemeClr w14:val="tx2"/>
          </w14:solidFill>
        </w14:textFill>
      </w:rPr>
      <w:tblPr>
        <w:tblLayout w:type="fixed"/>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blLayout w:type="fixed"/>
      </w:tblPr>
      <w:tcPr>
        <w:tcBorders>
          <w:top w:val="single" w:color="196B24" w:themeColor="accent3" w:sz="8" w:space="0"/>
          <w:bottom w:val="single" w:color="196B24" w:themeColor="accent3" w:sz="8" w:space="0"/>
        </w:tcBorders>
      </w:tcPr>
    </w:tblStylePr>
    <w:tblStylePr w:type="band1Vert">
      <w:tblPr>
        <w:tblLayout w:type="fixed"/>
      </w:tblPr>
      <w:tcPr>
        <w:shd w:val="clear" w:color="auto" w:fill="B3EDBB" w:themeFill="accent3" w:themeFillTint="3F"/>
      </w:tcPr>
    </w:tblStylePr>
    <w:tblStylePr w:type="band1Horz">
      <w:tblPr>
        <w:tblLayout w:type="fixed"/>
      </w:tblPr>
      <w:tcPr>
        <w:shd w:val="clear" w:color="auto" w:fill="B3EDBB"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0F9ED5" w:themeColor="accent4" w:sz="8" w:space="0"/>
        <w:bottom w:val="single" w:color="0F9ED5" w:themeColor="accent4"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0F9ED5" w:themeColor="accent4" w:sz="8" w:space="0"/>
        </w:tcBorders>
      </w:tcPr>
    </w:tblStylePr>
    <w:tblStylePr w:type="lastRow">
      <w:rPr>
        <w:b/>
        <w:bCs/>
        <w:color w:val="0E2841" w:themeColor="text2"/>
        <w14:textFill>
          <w14:solidFill>
            <w14:schemeClr w14:val="tx2"/>
          </w14:solidFill>
        </w14:textFill>
      </w:rPr>
      <w:tblPr>
        <w:tblLayout w:type="fixed"/>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blLayout w:type="fixed"/>
      </w:tblPr>
      <w:tcPr>
        <w:tcBorders>
          <w:top w:val="single" w:color="0F9ED5" w:themeColor="accent4" w:sz="8" w:space="0"/>
          <w:bottom w:val="single" w:color="0F9ED5" w:themeColor="accent4" w:sz="8" w:space="0"/>
        </w:tcBorders>
      </w:tcPr>
    </w:tblStylePr>
    <w:tblStylePr w:type="band1Vert">
      <w:tblPr>
        <w:tblLayout w:type="fixed"/>
      </w:tblPr>
      <w:tcPr>
        <w:shd w:val="clear" w:color="auto" w:fill="BDE9FA" w:themeFill="accent4" w:themeFillTint="3F"/>
      </w:tcPr>
    </w:tblStylePr>
    <w:tblStylePr w:type="band1Horz">
      <w:tblPr>
        <w:tblLayout w:type="fixed"/>
      </w:tblPr>
      <w:tcPr>
        <w:shd w:val="clear" w:color="auto" w:fill="BDE9FA"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A02B93" w:themeColor="accent5" w:sz="8" w:space="0"/>
        <w:bottom w:val="single" w:color="A02B93" w:themeColor="accent5"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A02B93" w:themeColor="accent5" w:sz="8" w:space="0"/>
        </w:tcBorders>
      </w:tcPr>
    </w:tblStylePr>
    <w:tblStylePr w:type="lastRow">
      <w:rPr>
        <w:b/>
        <w:bCs/>
        <w:color w:val="0E2841" w:themeColor="text2"/>
        <w14:textFill>
          <w14:solidFill>
            <w14:schemeClr w14:val="tx2"/>
          </w14:solidFill>
        </w14:textFill>
      </w:rPr>
      <w:tblPr>
        <w:tblLayout w:type="fixed"/>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blLayout w:type="fixed"/>
      </w:tblPr>
      <w:tcPr>
        <w:tcBorders>
          <w:top w:val="single" w:color="A02B93" w:themeColor="accent5" w:sz="8" w:space="0"/>
          <w:bottom w:val="single" w:color="A02B93" w:themeColor="accent5" w:sz="8" w:space="0"/>
        </w:tcBorders>
      </w:tcPr>
    </w:tblStylePr>
    <w:tblStylePr w:type="band1Vert">
      <w:tblPr>
        <w:tblLayout w:type="fixed"/>
      </w:tblPr>
      <w:tcPr>
        <w:shd w:val="clear" w:color="auto" w:fill="EEC3EA" w:themeFill="accent5" w:themeFillTint="3F"/>
      </w:tcPr>
    </w:tblStylePr>
    <w:tblStylePr w:type="band1Horz">
      <w:tblPr>
        <w:tblLayout w:type="fixed"/>
      </w:tblPr>
      <w:tcPr>
        <w:shd w:val="clear" w:color="auto" w:fill="EEC3EA"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4EA72E" w:themeColor="accent6" w:sz="8" w:space="0"/>
        <w:bottom w:val="single" w:color="4EA72E" w:themeColor="accent6"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4EA72E" w:themeColor="accent6" w:sz="8" w:space="0"/>
        </w:tcBorders>
      </w:tcPr>
    </w:tblStylePr>
    <w:tblStylePr w:type="lastRow">
      <w:rPr>
        <w:b/>
        <w:bCs/>
        <w:color w:val="0E2841" w:themeColor="text2"/>
        <w14:textFill>
          <w14:solidFill>
            <w14:schemeClr w14:val="tx2"/>
          </w14:solidFill>
        </w14:textFill>
      </w:rPr>
      <w:tblPr>
        <w:tblLayout w:type="fixed"/>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blLayout w:type="fixed"/>
      </w:tblPr>
      <w:tcPr>
        <w:tcBorders>
          <w:top w:val="single" w:color="4EA72E" w:themeColor="accent6" w:sz="8" w:space="0"/>
          <w:bottom w:val="single" w:color="4EA72E" w:themeColor="accent6" w:sz="8" w:space="0"/>
        </w:tcBorders>
      </w:tcPr>
    </w:tblStylePr>
    <w:tblStylePr w:type="band1Vert">
      <w:tblPr>
        <w:tblLayout w:type="fixed"/>
      </w:tblPr>
      <w:tcPr>
        <w:shd w:val="clear" w:color="auto" w:fill="D0EFC5" w:themeFill="accent6" w:themeFillTint="3F"/>
      </w:tcPr>
    </w:tblStylePr>
    <w:tblStylePr w:type="band1Horz">
      <w:tblPr>
        <w:tblLayout w:type="fixed"/>
      </w:tblPr>
      <w:tcPr>
        <w:shd w:val="clear" w:color="auto" w:fill="D0EFC5"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Pr>
    <w:tblStylePr w:type="firstRow">
      <w:rPr>
        <w:sz w:val="24"/>
        <w:szCs w:val="24"/>
      </w:rPr>
      <w:tblPr>
        <w:tblLayout w:type="fixed"/>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blLayout w:type="fixed"/>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blLayout w:type="fixed"/>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top w:val="nil"/>
          <w:bottom w:val="nil"/>
          <w:insideH w:val="nil"/>
          <w:insideV w:val="nil"/>
        </w:tcBorders>
        <w:shd w:val="clear" w:color="auto" w:fill="BFBFBF" w:themeFill="tex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156082" w:themeColor="accent1" w:sz="8" w:space="0"/>
        <w:left w:val="single" w:color="156082" w:themeColor="accent1" w:sz="8" w:space="0"/>
        <w:bottom w:val="single" w:color="156082" w:themeColor="accent1" w:sz="8" w:space="0"/>
        <w:right w:val="single" w:color="156082" w:themeColor="accent1" w:sz="8" w:space="0"/>
      </w:tblBorders>
      <w:tblLayout w:type="fixed"/>
    </w:tblPr>
    <w:tblStylePr w:type="firstRow">
      <w:rPr>
        <w:sz w:val="24"/>
        <w:szCs w:val="24"/>
      </w:rPr>
      <w:tblPr>
        <w:tblLayout w:type="fixed"/>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blLayout w:type="fixed"/>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blLayout w:type="fixed"/>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2DEF2" w:themeFill="accent1" w:themeFillTint="3F"/>
      </w:tcPr>
    </w:tblStylePr>
    <w:tblStylePr w:type="band1Horz">
      <w:tblPr>
        <w:tblLayout w:type="fixed"/>
      </w:tblPr>
      <w:tcPr>
        <w:tcBorders>
          <w:top w:val="nil"/>
          <w:bottom w:val="nil"/>
          <w:insideH w:val="nil"/>
          <w:insideV w:val="nil"/>
        </w:tcBorders>
        <w:shd w:val="clear" w:color="auto" w:fill="B2DEF2" w:themeFill="accen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97132" w:themeColor="accent2" w:sz="8" w:space="0"/>
        <w:left w:val="single" w:color="E97132" w:themeColor="accent2" w:sz="8" w:space="0"/>
        <w:bottom w:val="single" w:color="E97132" w:themeColor="accent2" w:sz="8" w:space="0"/>
        <w:right w:val="single" w:color="E97132" w:themeColor="accent2" w:sz="8" w:space="0"/>
      </w:tblBorders>
      <w:tblLayout w:type="fixed"/>
    </w:tblPr>
    <w:tblStylePr w:type="firstRow">
      <w:rPr>
        <w:sz w:val="24"/>
        <w:szCs w:val="24"/>
      </w:rPr>
      <w:tblPr>
        <w:tblLayout w:type="fixed"/>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blLayout w:type="fixed"/>
      </w:tblPr>
      <w:tcPr>
        <w:tcBorders>
          <w:top w:val="single" w:color="E97132" w:themeColor="accent2" w:sz="8" w:space="0"/>
          <w:left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blLayout w:type="fixed"/>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F9DBCC" w:themeFill="accent2" w:themeFillTint="3F"/>
      </w:tcPr>
    </w:tblStylePr>
    <w:tblStylePr w:type="band1Horz">
      <w:tblPr>
        <w:tblLayout w:type="fixed"/>
      </w:tblPr>
      <w:tcPr>
        <w:tcBorders>
          <w:top w:val="nil"/>
          <w:bottom w:val="nil"/>
          <w:insideH w:val="nil"/>
          <w:insideV w:val="nil"/>
        </w:tcBorders>
        <w:shd w:val="clear" w:color="auto" w:fill="F9DBCC" w:themeFill="accent2"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196B24" w:themeColor="accent3" w:sz="8" w:space="0"/>
        <w:left w:val="single" w:color="196B24" w:themeColor="accent3" w:sz="8" w:space="0"/>
        <w:bottom w:val="single" w:color="196B24" w:themeColor="accent3" w:sz="8" w:space="0"/>
        <w:right w:val="single" w:color="196B24" w:themeColor="accent3" w:sz="8" w:space="0"/>
      </w:tblBorders>
      <w:tblLayout w:type="fixed"/>
    </w:tblPr>
    <w:tblStylePr w:type="firstRow">
      <w:rPr>
        <w:sz w:val="24"/>
        <w:szCs w:val="24"/>
      </w:rPr>
      <w:tblPr>
        <w:tblLayout w:type="fixed"/>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blLayout w:type="fixed"/>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blLayout w:type="fixed"/>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3EDBB" w:themeFill="accent3" w:themeFillTint="3F"/>
      </w:tcPr>
    </w:tblStylePr>
    <w:tblStylePr w:type="band1Horz">
      <w:tblPr>
        <w:tblLayout w:type="fixed"/>
      </w:tblPr>
      <w:tcPr>
        <w:tcBorders>
          <w:top w:val="nil"/>
          <w:bottom w:val="nil"/>
          <w:insideH w:val="nil"/>
          <w:insideV w:val="nil"/>
        </w:tcBorders>
        <w:shd w:val="clear" w:color="auto" w:fill="B3EDBB" w:themeFill="accent3"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F9ED5" w:themeColor="accent4" w:sz="8" w:space="0"/>
        <w:left w:val="single" w:color="0F9ED5" w:themeColor="accent4" w:sz="8" w:space="0"/>
        <w:bottom w:val="single" w:color="0F9ED5" w:themeColor="accent4" w:sz="8" w:space="0"/>
        <w:right w:val="single" w:color="0F9ED5" w:themeColor="accent4" w:sz="8" w:space="0"/>
      </w:tblBorders>
      <w:tblLayout w:type="fixed"/>
    </w:tblPr>
    <w:tblStylePr w:type="firstRow">
      <w:rPr>
        <w:sz w:val="24"/>
        <w:szCs w:val="24"/>
      </w:rPr>
      <w:tblPr>
        <w:tblLayout w:type="fixed"/>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blLayout w:type="fixed"/>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blLayout w:type="fixed"/>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DE9FA" w:themeFill="accent4" w:themeFillTint="3F"/>
      </w:tcPr>
    </w:tblStylePr>
    <w:tblStylePr w:type="band1Horz">
      <w:tblPr>
        <w:tblLayout w:type="fixed"/>
      </w:tblPr>
      <w:tcPr>
        <w:tcBorders>
          <w:top w:val="nil"/>
          <w:bottom w:val="nil"/>
          <w:insideH w:val="nil"/>
          <w:insideV w:val="nil"/>
        </w:tcBorders>
        <w:shd w:val="clear" w:color="auto" w:fill="BDE9FA" w:themeFill="accent4"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02B93" w:themeColor="accent5" w:sz="8" w:space="0"/>
        <w:left w:val="single" w:color="A02B93" w:themeColor="accent5" w:sz="8" w:space="0"/>
        <w:bottom w:val="single" w:color="A02B93" w:themeColor="accent5" w:sz="8" w:space="0"/>
        <w:right w:val="single" w:color="A02B93" w:themeColor="accent5" w:sz="8" w:space="0"/>
      </w:tblBorders>
      <w:tblLayout w:type="fixed"/>
    </w:tblPr>
    <w:tblStylePr w:type="firstRow">
      <w:rPr>
        <w:sz w:val="24"/>
        <w:szCs w:val="24"/>
      </w:rPr>
      <w:tblPr>
        <w:tblLayout w:type="fixed"/>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blLayout w:type="fixed"/>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blLayout w:type="fixed"/>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EC3EA" w:themeFill="accent5" w:themeFillTint="3F"/>
      </w:tcPr>
    </w:tblStylePr>
    <w:tblStylePr w:type="band1Horz">
      <w:tblPr>
        <w:tblLayout w:type="fixed"/>
      </w:tblPr>
      <w:tcPr>
        <w:tcBorders>
          <w:top w:val="nil"/>
          <w:bottom w:val="nil"/>
          <w:insideH w:val="nil"/>
          <w:insideV w:val="nil"/>
        </w:tcBorders>
        <w:shd w:val="clear" w:color="auto" w:fill="EEC3EA" w:themeFill="accent5"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EA72E" w:themeColor="accent6" w:sz="8" w:space="0"/>
        <w:left w:val="single" w:color="4EA72E" w:themeColor="accent6" w:sz="8" w:space="0"/>
        <w:bottom w:val="single" w:color="4EA72E" w:themeColor="accent6" w:sz="8" w:space="0"/>
        <w:right w:val="single" w:color="4EA72E" w:themeColor="accent6" w:sz="8" w:space="0"/>
      </w:tblBorders>
      <w:tblLayout w:type="fixed"/>
    </w:tblPr>
    <w:tblStylePr w:type="firstRow">
      <w:rPr>
        <w:sz w:val="24"/>
        <w:szCs w:val="24"/>
      </w:rPr>
      <w:tblPr>
        <w:tblLayout w:type="fixed"/>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blLayout w:type="fixed"/>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blLayout w:type="fixed"/>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0EFC5" w:themeFill="accent6" w:themeFillTint="3F"/>
      </w:tcPr>
    </w:tblStylePr>
    <w:tblStylePr w:type="band1Horz">
      <w:tblPr>
        <w:tblLayout w:type="fixed"/>
      </w:tblPr>
      <w:tcPr>
        <w:tcBorders>
          <w:top w:val="nil"/>
          <w:bottom w:val="nil"/>
          <w:insideH w:val="nil"/>
          <w:insideV w:val="nil"/>
        </w:tcBorders>
        <w:shd w:val="clear" w:color="auto" w:fill="D0EFC5" w:themeFill="accent6"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Layout w:type="fixed"/>
    </w:tblPr>
    <w:tcPr>
      <w:shd w:val="clear" w:color="auto" w:fill="BFBFBF" w:themeFill="text1" w:themeFillTint="3F"/>
    </w:tcPr>
    <w:tblStylePr w:type="firstRow">
      <w:rPr>
        <w:b/>
        <w:bCs/>
      </w:rPr>
    </w:tblStylePr>
    <w:tblStylePr w:type="lastRow">
      <w:rPr>
        <w:b/>
        <w:bCs/>
      </w:rPr>
      <w:tblPr>
        <w:tblLayout w:type="fixed"/>
      </w:tblPr>
      <w:tcPr>
        <w:tcBorders>
          <w:top w:val="single" w:color="3F3F3F" w:themeColor="text1" w:themeTint="BF" w:sz="18" w:space="0"/>
        </w:tcBorders>
      </w:tcPr>
    </w:tblStylePr>
    <w:tblStylePr w:type="firstCol">
      <w:rPr>
        <w:b/>
        <w:bCs/>
      </w:rPr>
    </w:tblStylePr>
    <w:tblStylePr w:type="lastCol">
      <w:rPr>
        <w:b/>
        <w:bCs/>
      </w:r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2199CF" w:themeColor="accent1" w:themeTint="BF" w:sz="8" w:space="0"/>
        <w:left w:val="single" w:color="2199CF" w:themeColor="accent1" w:themeTint="BF" w:sz="8" w:space="0"/>
        <w:bottom w:val="single" w:color="2199CF" w:themeColor="accent1" w:themeTint="BF" w:sz="8" w:space="0"/>
        <w:right w:val="single" w:color="2199CF" w:themeColor="accent1" w:themeTint="BF" w:sz="8" w:space="0"/>
        <w:insideH w:val="single" w:color="2199CF" w:themeColor="accent1" w:themeTint="BF" w:sz="8" w:space="0"/>
        <w:insideV w:val="single" w:color="2199CF" w:themeColor="accent1" w:themeTint="BF" w:sz="8" w:space="0"/>
      </w:tblBorders>
      <w:tblLayout w:type="fixed"/>
    </w:tblPr>
    <w:tcPr>
      <w:shd w:val="clear" w:color="auto" w:fill="B2DEF2" w:themeFill="accent1" w:themeFillTint="3F"/>
    </w:tcPr>
    <w:tblStylePr w:type="firstRow">
      <w:rPr>
        <w:b/>
        <w:bCs/>
      </w:rPr>
    </w:tblStylePr>
    <w:tblStylePr w:type="lastRow">
      <w:rPr>
        <w:b/>
        <w:bCs/>
      </w:rPr>
      <w:tblPr>
        <w:tblLayout w:type="fixed"/>
      </w:tblPr>
      <w:tcPr>
        <w:tcBorders>
          <w:top w:val="single" w:color="2199CF" w:themeColor="accent1" w:themeTint="BF" w:sz="18" w:space="0"/>
        </w:tcBorders>
      </w:tcPr>
    </w:tblStylePr>
    <w:tblStylePr w:type="firstCol">
      <w:rPr>
        <w:b/>
        <w:bCs/>
      </w:rPr>
    </w:tblStylePr>
    <w:tblStylePr w:type="lastCol">
      <w:rPr>
        <w:b/>
        <w:bCs/>
      </w:rPr>
    </w:tblStylePr>
    <w:tblStylePr w:type="band1Vert">
      <w:tblPr>
        <w:tblLayout w:type="fixed"/>
      </w:tblPr>
      <w:tcPr>
        <w:shd w:val="clear" w:color="auto" w:fill="65BDE6" w:themeFill="accent1" w:themeFillTint="7F"/>
      </w:tcPr>
    </w:tblStylePr>
    <w:tblStylePr w:type="band1Horz">
      <w:tblPr>
        <w:tblLayout w:type="fixed"/>
      </w:tblPr>
      <w:tcPr>
        <w:shd w:val="clear" w:color="auto" w:fill="65BDE6" w:themeFill="accent1" w:themeFillTint="7F"/>
      </w:tcPr>
    </w:tblStylePr>
  </w:style>
  <w:style w:type="table" w:styleId="184">
    <w:name w:val="Medium Grid 1 Accent 2"/>
    <w:basedOn w:val="88"/>
    <w:semiHidden/>
    <w:unhideWhenUsed/>
    <w:qFormat/>
    <w:uiPriority w:val="67"/>
    <w:tblPr>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Layout w:type="fixed"/>
    </w:tblPr>
    <w:tcPr>
      <w:shd w:val="clear" w:color="auto" w:fill="F9DBCC" w:themeFill="accent2" w:themeFillTint="3F"/>
    </w:tcPr>
    <w:tblStylePr w:type="firstRow">
      <w:rPr>
        <w:b/>
        <w:bCs/>
      </w:rPr>
    </w:tblStylePr>
    <w:tblStylePr w:type="lastRow">
      <w:rPr>
        <w:b/>
        <w:bCs/>
      </w:rPr>
      <w:tblPr>
        <w:tblLayout w:type="fixed"/>
      </w:tblPr>
      <w:tcPr>
        <w:tcBorders>
          <w:top w:val="single" w:color="EE9465" w:themeColor="accent2" w:themeTint="BF" w:sz="18" w:space="0"/>
        </w:tcBorders>
      </w:tcPr>
    </w:tblStylePr>
    <w:tblStylePr w:type="firstCol">
      <w:rPr>
        <w:b/>
        <w:bCs/>
      </w:rPr>
    </w:tblStylePr>
    <w:tblStylePr w:type="lastCol">
      <w:rPr>
        <w:b/>
        <w:bCs/>
      </w:rPr>
    </w:tblStylePr>
    <w:tblStylePr w:type="band1Vert">
      <w:tblPr>
        <w:tblLayout w:type="fixed"/>
      </w:tblPr>
      <w:tcPr>
        <w:shd w:val="clear" w:color="auto" w:fill="F4B898" w:themeFill="accent2" w:themeFillTint="7F"/>
      </w:tcPr>
    </w:tblStylePr>
    <w:tblStylePr w:type="band1Horz">
      <w:tblPr>
        <w:tblLayout w:type="fixed"/>
      </w:tblPr>
      <w:tcPr>
        <w:shd w:val="clear" w:color="auto" w:fill="F4B898" w:themeFill="accent2" w:themeFillTint="7F"/>
      </w:tcPr>
    </w:tblStylePr>
  </w:style>
  <w:style w:type="table" w:styleId="185">
    <w:name w:val="Medium Grid 1 Accent 3"/>
    <w:basedOn w:val="88"/>
    <w:semiHidden/>
    <w:unhideWhenUsed/>
    <w:qFormat/>
    <w:uiPriority w:val="67"/>
    <w:tblPr>
      <w:tblBorders>
        <w:top w:val="single" w:color="2AB73D" w:themeColor="accent3" w:themeTint="BF" w:sz="8" w:space="0"/>
        <w:left w:val="single" w:color="2AB73D" w:themeColor="accent3" w:themeTint="BF" w:sz="8" w:space="0"/>
        <w:bottom w:val="single" w:color="2AB73D" w:themeColor="accent3" w:themeTint="BF" w:sz="8" w:space="0"/>
        <w:right w:val="single" w:color="2AB73D" w:themeColor="accent3" w:themeTint="BF" w:sz="8" w:space="0"/>
        <w:insideH w:val="single" w:color="2AB73D" w:themeColor="accent3" w:themeTint="BF" w:sz="8" w:space="0"/>
        <w:insideV w:val="single" w:color="2AB73D" w:themeColor="accent3" w:themeTint="BF" w:sz="8" w:space="0"/>
      </w:tblBorders>
      <w:tblLayout w:type="fixed"/>
    </w:tblPr>
    <w:tcPr>
      <w:shd w:val="clear" w:color="auto" w:fill="B3EDBB" w:themeFill="accent3" w:themeFillTint="3F"/>
    </w:tcPr>
    <w:tblStylePr w:type="firstRow">
      <w:rPr>
        <w:b/>
        <w:bCs/>
      </w:rPr>
    </w:tblStylePr>
    <w:tblStylePr w:type="lastRow">
      <w:rPr>
        <w:b/>
        <w:bCs/>
      </w:rPr>
      <w:tblPr>
        <w:tblLayout w:type="fixed"/>
      </w:tblPr>
      <w:tcPr>
        <w:tcBorders>
          <w:top w:val="single" w:color="2AB73D" w:themeColor="accent3" w:themeTint="BF" w:sz="18" w:space="0"/>
        </w:tcBorders>
      </w:tcPr>
    </w:tblStylePr>
    <w:tblStylePr w:type="firstCol">
      <w:rPr>
        <w:b/>
        <w:bCs/>
      </w:rPr>
    </w:tblStylePr>
    <w:tblStylePr w:type="lastCol">
      <w:rPr>
        <w:b/>
        <w:bCs/>
      </w:rPr>
    </w:tblStylePr>
    <w:tblStylePr w:type="band1Vert">
      <w:tblPr>
        <w:tblLayout w:type="fixed"/>
      </w:tblPr>
      <w:tcPr>
        <w:shd w:val="clear" w:color="auto" w:fill="66DB76" w:themeFill="accent3" w:themeFillTint="7F"/>
      </w:tcPr>
    </w:tblStylePr>
    <w:tblStylePr w:type="band1Horz">
      <w:tblPr>
        <w:tblLayout w:type="fixed"/>
      </w:tblPr>
      <w:tcPr>
        <w:shd w:val="clear" w:color="auto" w:fill="66DB76" w:themeFill="accent3" w:themeFillTint="7F"/>
      </w:tcPr>
    </w:tblStylePr>
  </w:style>
  <w:style w:type="table" w:styleId="186">
    <w:name w:val="Medium Grid 1 Accent 4"/>
    <w:basedOn w:val="88"/>
    <w:semiHidden/>
    <w:unhideWhenUsed/>
    <w:qFormat/>
    <w:uiPriority w:val="67"/>
    <w:tblPr>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Layout w:type="fixed"/>
    </w:tblPr>
    <w:tcPr>
      <w:shd w:val="clear" w:color="auto" w:fill="BDE9FA" w:themeFill="accent4" w:themeFillTint="3F"/>
    </w:tcPr>
    <w:tblStylePr w:type="firstRow">
      <w:rPr>
        <w:b/>
        <w:bCs/>
      </w:rPr>
    </w:tblStylePr>
    <w:tblStylePr w:type="lastRow">
      <w:rPr>
        <w:b/>
        <w:bCs/>
      </w:rPr>
      <w:tblPr>
        <w:tblLayout w:type="fixed"/>
      </w:tblPr>
      <w:tcPr>
        <w:tcBorders>
          <w:top w:val="single" w:color="39BEF1" w:themeColor="accent4" w:themeTint="BF" w:sz="18" w:space="0"/>
        </w:tcBorders>
      </w:tcPr>
    </w:tblStylePr>
    <w:tblStylePr w:type="firstCol">
      <w:rPr>
        <w:b/>
        <w:bCs/>
      </w:rPr>
    </w:tblStylePr>
    <w:tblStylePr w:type="lastCol">
      <w:rPr>
        <w:b/>
        <w:bCs/>
      </w:rPr>
    </w:tblStylePr>
    <w:tblStylePr w:type="band1Vert">
      <w:tblPr>
        <w:tblLayout w:type="fixed"/>
      </w:tblPr>
      <w:tcPr>
        <w:shd w:val="clear" w:color="auto" w:fill="7BD3F5" w:themeFill="accent4" w:themeFillTint="7F"/>
      </w:tcPr>
    </w:tblStylePr>
    <w:tblStylePr w:type="band1Horz">
      <w:tblPr>
        <w:tblLayout w:type="fixed"/>
      </w:tblPr>
      <w:tcPr>
        <w:shd w:val="clear" w:color="auto" w:fill="7BD3F5" w:themeFill="accent4" w:themeFillTint="7F"/>
      </w:tcPr>
    </w:tblStylePr>
  </w:style>
  <w:style w:type="table" w:styleId="187">
    <w:name w:val="Medium Grid 1 Accent 5"/>
    <w:basedOn w:val="88"/>
    <w:semiHidden/>
    <w:unhideWhenUsed/>
    <w:qFormat/>
    <w:uiPriority w:val="67"/>
    <w:tblPr>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Layout w:type="fixed"/>
    </w:tblPr>
    <w:tcPr>
      <w:shd w:val="clear" w:color="auto" w:fill="EEC3EA" w:themeFill="accent5" w:themeFillTint="3F"/>
    </w:tcPr>
    <w:tblStylePr w:type="firstRow">
      <w:rPr>
        <w:b/>
        <w:bCs/>
      </w:rPr>
    </w:tblStylePr>
    <w:tblStylePr w:type="lastRow">
      <w:rPr>
        <w:b/>
        <w:bCs/>
      </w:rPr>
      <w:tblPr>
        <w:tblLayout w:type="fixed"/>
      </w:tblPr>
      <w:tcPr>
        <w:tcBorders>
          <w:top w:val="single" w:color="CE49BF" w:themeColor="accent5" w:themeTint="BF" w:sz="18" w:space="0"/>
        </w:tcBorders>
      </w:tcPr>
    </w:tblStylePr>
    <w:tblStylePr w:type="firstCol">
      <w:rPr>
        <w:b/>
        <w:bCs/>
      </w:rPr>
    </w:tblStylePr>
    <w:tblStylePr w:type="lastCol">
      <w:rPr>
        <w:b/>
        <w:bCs/>
      </w:rPr>
    </w:tblStylePr>
    <w:tblStylePr w:type="band1Vert">
      <w:tblPr>
        <w:tblLayout w:type="fixed"/>
      </w:tblPr>
      <w:tcPr>
        <w:shd w:val="clear" w:color="auto" w:fill="DE86D4" w:themeFill="accent5" w:themeFillTint="7F"/>
      </w:tcPr>
    </w:tblStylePr>
    <w:tblStylePr w:type="band1Horz">
      <w:tblPr>
        <w:tblLayout w:type="fixed"/>
      </w:tblPr>
      <w:tcPr>
        <w:shd w:val="clear" w:color="auto" w:fill="DE86D4" w:themeFill="accent5" w:themeFillTint="7F"/>
      </w:tcPr>
    </w:tblStylePr>
  </w:style>
  <w:style w:type="table" w:styleId="188">
    <w:name w:val="Medium Grid 1 Accent 6"/>
    <w:basedOn w:val="88"/>
    <w:semiHidden/>
    <w:unhideWhenUsed/>
    <w:qFormat/>
    <w:uiPriority w:val="67"/>
    <w:tblPr>
      <w:tblBorders>
        <w:top w:val="single" w:color="72CE50" w:themeColor="accent6" w:themeTint="BF" w:sz="8" w:space="0"/>
        <w:left w:val="single" w:color="72CE50" w:themeColor="accent6" w:themeTint="BF" w:sz="8" w:space="0"/>
        <w:bottom w:val="single" w:color="72CE50" w:themeColor="accent6" w:themeTint="BF" w:sz="8" w:space="0"/>
        <w:right w:val="single" w:color="72CE50" w:themeColor="accent6" w:themeTint="BF" w:sz="8" w:space="0"/>
        <w:insideH w:val="single" w:color="72CE50" w:themeColor="accent6" w:themeTint="BF" w:sz="8" w:space="0"/>
        <w:insideV w:val="single" w:color="72CE50" w:themeColor="accent6" w:themeTint="BF" w:sz="8" w:space="0"/>
      </w:tblBorders>
      <w:tblLayout w:type="fixed"/>
    </w:tblPr>
    <w:tcPr>
      <w:shd w:val="clear" w:color="auto" w:fill="D0EFC5" w:themeFill="accent6" w:themeFillTint="3F"/>
    </w:tcPr>
    <w:tblStylePr w:type="firstRow">
      <w:rPr>
        <w:b/>
        <w:bCs/>
      </w:rPr>
    </w:tblStylePr>
    <w:tblStylePr w:type="lastRow">
      <w:rPr>
        <w:b/>
        <w:bCs/>
      </w:rPr>
      <w:tblPr>
        <w:tblLayout w:type="fixed"/>
      </w:tblPr>
      <w:tcPr>
        <w:tcBorders>
          <w:top w:val="single" w:color="72CE50" w:themeColor="accent6" w:themeTint="BF" w:sz="18" w:space="0"/>
        </w:tcBorders>
      </w:tcPr>
    </w:tblStylePr>
    <w:tblStylePr w:type="firstCol">
      <w:rPr>
        <w:b/>
        <w:bCs/>
      </w:rPr>
    </w:tblStylePr>
    <w:tblStylePr w:type="lastCol">
      <w:rPr>
        <w:b/>
        <w:bCs/>
      </w:rPr>
    </w:tblStylePr>
    <w:tblStylePr w:type="band1Vert">
      <w:tblPr>
        <w:tblLayout w:type="fixed"/>
      </w:tblPr>
      <w:tcPr>
        <w:shd w:val="clear" w:color="auto" w:fill="A1DF8B" w:themeFill="accent6" w:themeFillTint="7F"/>
      </w:tcPr>
    </w:tblStylePr>
    <w:tblStylePr w:type="band1Horz">
      <w:tblPr>
        <w:tblLayout w:type="fixed"/>
      </w:tblPr>
      <w:tcPr>
        <w:shd w:val="clear" w:color="auto" w:fill="A1DF8B"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Pr>
    <w:tcPr>
      <w:shd w:val="clear" w:color="auto" w:fill="BFBFBF" w:themeFill="text1" w:themeFillTint="3F"/>
    </w:tcPr>
    <w:tblStylePr w:type="firstRow">
      <w:rPr>
        <w:b/>
        <w:bCs/>
        <w:color w:val="000000" w:themeColor="text1"/>
        <w14:textFill>
          <w14:solidFill>
            <w14:schemeClr w14:val="tx1"/>
          </w14:solidFill>
        </w14:textFill>
      </w:rPr>
      <w:tblPr>
        <w:tblLayout w:type="fixed"/>
      </w:tblPr>
      <w:tcPr>
        <w:shd w:val="clear" w:color="auto" w:fill="E5E5E5" w:themeFill="tex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CCCCC" w:themeFill="text1" w:themeFillTint="33"/>
      </w:tcPr>
    </w:tblStylePr>
    <w:tblStylePr w:type="band1Vert">
      <w:tblPr>
        <w:tblLayout w:type="fixed"/>
      </w:tblPr>
      <w:tcPr>
        <w:shd w:val="clear" w:color="auto" w:fill="7F7F7F" w:themeFill="text1" w:themeFillTint="7F"/>
      </w:tcPr>
    </w:tblStylePr>
    <w:tblStylePr w:type="band1Horz">
      <w:tblPr>
        <w:tblLayout w:type="fixed"/>
      </w:tblPr>
      <w:tcPr>
        <w:tcBorders>
          <w:insideH w:val="single" w:sz="6" w:space="0"/>
          <w:insideV w:val="single" w:sz="6" w:space="0"/>
        </w:tcBorders>
        <w:shd w:val="clear" w:color="auto" w:fill="7F7F7F" w:themeFill="text1" w:themeFillTint="7F"/>
      </w:tcPr>
    </w:tblStylePr>
    <w:tblStylePr w:type="nwCell">
      <w:tblPr>
        <w:tblLayout w:type="fixed"/>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Layout w:type="fixed"/>
    </w:tblPr>
    <w:tcPr>
      <w:shd w:val="clear" w:color="auto" w:fill="B2DEF2" w:themeFill="accent1" w:themeFillTint="3F"/>
    </w:tcPr>
    <w:tblStylePr w:type="firstRow">
      <w:rPr>
        <w:b/>
        <w:bCs/>
        <w:color w:val="000000" w:themeColor="text1"/>
        <w14:textFill>
          <w14:solidFill>
            <w14:schemeClr w14:val="tx1"/>
          </w14:solidFill>
        </w14:textFill>
      </w:rPr>
      <w:tblPr>
        <w:tblLayout w:type="fixed"/>
      </w:tblPr>
      <w:tcPr>
        <w:shd w:val="clear" w:color="auto" w:fill="E0F2FA" w:themeFill="accen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1E4F5" w:themeFill="accent1" w:themeFillTint="33"/>
      </w:tcPr>
    </w:tblStylePr>
    <w:tblStylePr w:type="band1Vert">
      <w:tblPr>
        <w:tblLayout w:type="fixed"/>
      </w:tblPr>
      <w:tcPr>
        <w:shd w:val="clear" w:color="auto" w:fill="65BDE6" w:themeFill="accent1" w:themeFillTint="7F"/>
      </w:tcPr>
    </w:tblStylePr>
    <w:tblStylePr w:type="band1Horz">
      <w:tblPr>
        <w:tblLayout w:type="fixed"/>
      </w:tblPr>
      <w:tcPr>
        <w:tcBorders>
          <w:insideH w:val="single" w:sz="6" w:space="0"/>
          <w:insideV w:val="single" w:sz="6" w:space="0"/>
        </w:tcBorders>
        <w:shd w:val="clear" w:color="auto" w:fill="65BDE6" w:themeFill="accent1" w:themeFillTint="7F"/>
      </w:tcPr>
    </w:tblStylePr>
    <w:tblStylePr w:type="nwCell">
      <w:tblPr>
        <w:tblLayout w:type="fixed"/>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Layout w:type="fixed"/>
    </w:tblPr>
    <w:tcPr>
      <w:shd w:val="clear" w:color="auto" w:fill="F9DBCC" w:themeFill="accent2" w:themeFillTint="3F"/>
    </w:tcPr>
    <w:tblStylePr w:type="firstRow">
      <w:rPr>
        <w:b/>
        <w:bCs/>
        <w:color w:val="000000" w:themeColor="text1"/>
        <w14:textFill>
          <w14:solidFill>
            <w14:schemeClr w14:val="tx1"/>
          </w14:solidFill>
        </w14:textFill>
      </w:rPr>
      <w:tblPr>
        <w:tblLayout w:type="fixed"/>
      </w:tblPr>
      <w:tcPr>
        <w:shd w:val="clear" w:color="auto" w:fill="FCF1EA" w:themeFill="accent2"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AE2D5" w:themeFill="accent2" w:themeFillTint="33"/>
      </w:tcPr>
    </w:tblStylePr>
    <w:tblStylePr w:type="band1Vert">
      <w:tblPr>
        <w:tblLayout w:type="fixed"/>
      </w:tblPr>
      <w:tcPr>
        <w:shd w:val="clear" w:color="auto" w:fill="F4B898" w:themeFill="accent2" w:themeFillTint="7F"/>
      </w:tcPr>
    </w:tblStylePr>
    <w:tblStylePr w:type="band1Horz">
      <w:tblPr>
        <w:tblLayout w:type="fixed"/>
      </w:tblPr>
      <w:tcPr>
        <w:tcBorders>
          <w:insideH w:val="single" w:sz="6" w:space="0"/>
          <w:insideV w:val="single" w:sz="6" w:space="0"/>
        </w:tcBorders>
        <w:shd w:val="clear" w:color="auto" w:fill="F4B898" w:themeFill="accent2" w:themeFillTint="7F"/>
      </w:tcPr>
    </w:tblStylePr>
    <w:tblStylePr w:type="nwCell">
      <w:tblPr>
        <w:tblLayout w:type="fixed"/>
      </w:tblPr>
      <w:tcPr>
        <w:shd w:val="clear" w:color="auto" w:fill="FFFFFF" w:themeFill="background1"/>
      </w:tcPr>
    </w:tblStylePr>
  </w:style>
  <w:style w:type="table" w:styleId="192">
    <w:name w:val="Medium Grid 2 Accent 3"/>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Layout w:type="fixed"/>
    </w:tblPr>
    <w:tcPr>
      <w:shd w:val="clear" w:color="auto" w:fill="B3EDBB" w:themeFill="accent3" w:themeFillTint="3F"/>
    </w:tcPr>
    <w:tblStylePr w:type="firstRow">
      <w:rPr>
        <w:b/>
        <w:bCs/>
        <w:color w:val="000000" w:themeColor="text1"/>
        <w14:textFill>
          <w14:solidFill>
            <w14:schemeClr w14:val="tx1"/>
          </w14:solidFill>
        </w14:textFill>
      </w:rPr>
      <w:tblPr>
        <w:tblLayout w:type="fixed"/>
      </w:tblPr>
      <w:tcPr>
        <w:shd w:val="clear" w:color="auto" w:fill="E0F7E4" w:themeFill="accent3"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1F0C8" w:themeFill="accent3" w:themeFillTint="33"/>
      </w:tcPr>
    </w:tblStylePr>
    <w:tblStylePr w:type="band1Vert">
      <w:tblPr>
        <w:tblLayout w:type="fixed"/>
      </w:tblPr>
      <w:tcPr>
        <w:shd w:val="clear" w:color="auto" w:fill="66DB76" w:themeFill="accent3" w:themeFillTint="7F"/>
      </w:tcPr>
    </w:tblStylePr>
    <w:tblStylePr w:type="band1Horz">
      <w:tblPr>
        <w:tblLayout w:type="fixed"/>
      </w:tblPr>
      <w:tcPr>
        <w:tcBorders>
          <w:insideH w:val="single" w:sz="6" w:space="0"/>
          <w:insideV w:val="single" w:sz="6" w:space="0"/>
        </w:tcBorders>
        <w:shd w:val="clear" w:color="auto" w:fill="66DB76" w:themeFill="accent3" w:themeFillTint="7F"/>
      </w:tcPr>
    </w:tblStylePr>
    <w:tblStylePr w:type="nwCell">
      <w:tblPr>
        <w:tblLayout w:type="fixed"/>
      </w:tblPr>
      <w:tcPr>
        <w:shd w:val="clear" w:color="auto" w:fill="FFFFFF" w:themeFill="background1"/>
      </w:tcPr>
    </w:tblStylePr>
  </w:style>
  <w:style w:type="table" w:styleId="193">
    <w:name w:val="Medium Grid 2 Accent 4"/>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Layout w:type="fixed"/>
    </w:tblPr>
    <w:tcPr>
      <w:shd w:val="clear" w:color="auto" w:fill="BDE9FA" w:themeFill="accent4" w:themeFillTint="3F"/>
    </w:tcPr>
    <w:tblStylePr w:type="firstRow">
      <w:rPr>
        <w:b/>
        <w:bCs/>
        <w:color w:val="000000" w:themeColor="text1"/>
        <w14:textFill>
          <w14:solidFill>
            <w14:schemeClr w14:val="tx1"/>
          </w14:solidFill>
        </w14:textFill>
      </w:rPr>
      <w:tblPr>
        <w:tblLayout w:type="fixed"/>
      </w:tblPr>
      <w:tcPr>
        <w:shd w:val="clear" w:color="auto" w:fill="E5F6FD" w:themeFill="accent4"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AEDFB" w:themeFill="accent4" w:themeFillTint="33"/>
      </w:tcPr>
    </w:tblStylePr>
    <w:tblStylePr w:type="band1Vert">
      <w:tblPr>
        <w:tblLayout w:type="fixed"/>
      </w:tblPr>
      <w:tcPr>
        <w:shd w:val="clear" w:color="auto" w:fill="7BD3F5" w:themeFill="accent4" w:themeFillTint="7F"/>
      </w:tcPr>
    </w:tblStylePr>
    <w:tblStylePr w:type="band1Horz">
      <w:tblPr>
        <w:tblLayout w:type="fixed"/>
      </w:tblPr>
      <w:tcPr>
        <w:tcBorders>
          <w:insideH w:val="single" w:sz="6" w:space="0"/>
          <w:insideV w:val="single" w:sz="6" w:space="0"/>
        </w:tcBorders>
        <w:shd w:val="clear" w:color="auto" w:fill="7BD3F5" w:themeFill="accent4" w:themeFillTint="7F"/>
      </w:tcPr>
    </w:tblStylePr>
    <w:tblStylePr w:type="nwCell">
      <w:tblPr>
        <w:tblLayout w:type="fixed"/>
      </w:tblPr>
      <w:tcPr>
        <w:shd w:val="clear" w:color="auto" w:fill="FFFFFF" w:themeFill="background1"/>
      </w:tcPr>
    </w:tblStylePr>
  </w:style>
  <w:style w:type="table" w:styleId="194">
    <w:name w:val="Medium Grid 2 Accent 5"/>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Layout w:type="fixed"/>
    </w:tblPr>
    <w:tcPr>
      <w:shd w:val="clear" w:color="auto" w:fill="EEC3EA" w:themeFill="accent5" w:themeFillTint="3F"/>
    </w:tcPr>
    <w:tblStylePr w:type="firstRow">
      <w:rPr>
        <w:b/>
        <w:bCs/>
        <w:color w:val="000000" w:themeColor="text1"/>
        <w14:textFill>
          <w14:solidFill>
            <w14:schemeClr w14:val="tx1"/>
          </w14:solidFill>
        </w14:textFill>
      </w:rPr>
      <w:tblPr>
        <w:tblLayout w:type="fixed"/>
      </w:tblPr>
      <w:tcPr>
        <w:shd w:val="clear" w:color="auto" w:fill="F8E7F6" w:themeFill="accent5"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1CEEE" w:themeFill="accent5" w:themeFillTint="33"/>
      </w:tcPr>
    </w:tblStylePr>
    <w:tblStylePr w:type="band1Vert">
      <w:tblPr>
        <w:tblLayout w:type="fixed"/>
      </w:tblPr>
      <w:tcPr>
        <w:shd w:val="clear" w:color="auto" w:fill="DE86D4" w:themeFill="accent5" w:themeFillTint="7F"/>
      </w:tcPr>
    </w:tblStylePr>
    <w:tblStylePr w:type="band1Horz">
      <w:tblPr>
        <w:tblLayout w:type="fixed"/>
      </w:tblPr>
      <w:tcPr>
        <w:tcBorders>
          <w:insideH w:val="single" w:sz="6" w:space="0"/>
          <w:insideV w:val="single" w:sz="6" w:space="0"/>
        </w:tcBorders>
        <w:shd w:val="clear" w:color="auto" w:fill="DE86D4" w:themeFill="accent5" w:themeFillTint="7F"/>
      </w:tcPr>
    </w:tblStylePr>
    <w:tblStylePr w:type="nwCell">
      <w:tblPr>
        <w:tblLayout w:type="fixed"/>
      </w:tblPr>
      <w:tcPr>
        <w:shd w:val="clear" w:color="auto" w:fill="FFFFFF" w:themeFill="background1"/>
      </w:tcPr>
    </w:tblStylePr>
  </w:style>
  <w:style w:type="table" w:styleId="195">
    <w:name w:val="Medium Grid 2 Accent 6"/>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Layout w:type="fixed"/>
    </w:tblPr>
    <w:tcPr>
      <w:shd w:val="clear" w:color="auto" w:fill="D0EFC5" w:themeFill="accent6" w:themeFillTint="3F"/>
    </w:tcPr>
    <w:tblStylePr w:type="firstRow">
      <w:rPr>
        <w:b/>
        <w:bCs/>
        <w:color w:val="000000" w:themeColor="text1"/>
        <w14:textFill>
          <w14:solidFill>
            <w14:schemeClr w14:val="tx1"/>
          </w14:solidFill>
        </w14:textFill>
      </w:rPr>
      <w:tblPr>
        <w:tblLayout w:type="fixed"/>
      </w:tblPr>
      <w:tcPr>
        <w:shd w:val="clear" w:color="auto" w:fill="ECF8E8" w:themeFill="accent6"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9F2D0" w:themeFill="accent6" w:themeFillTint="33"/>
      </w:tcPr>
    </w:tblStylePr>
    <w:tblStylePr w:type="band1Vert">
      <w:tblPr>
        <w:tblLayout w:type="fixed"/>
      </w:tblPr>
      <w:tcPr>
        <w:shd w:val="clear" w:color="auto" w:fill="A1DF8B" w:themeFill="accent6" w:themeFillTint="7F"/>
      </w:tcPr>
    </w:tblStylePr>
    <w:tblStylePr w:type="band1Horz">
      <w:tblPr>
        <w:tblLayout w:type="fixed"/>
      </w:tblPr>
      <w:tcPr>
        <w:tcBorders>
          <w:insideH w:val="single" w:sz="6" w:space="0"/>
          <w:insideV w:val="single" w:sz="6" w:space="0"/>
        </w:tcBorders>
        <w:shd w:val="clear" w:color="auto" w:fill="A1DF8B" w:themeFill="accent6" w:themeFillTint="7F"/>
      </w:tcPr>
    </w:tblStylePr>
    <w:tblStylePr w:type="nwCell">
      <w:tblPr>
        <w:tblLayout w:type="fixed"/>
      </w:tblPr>
      <w:tcPr>
        <w:shd w:val="clear" w:color="auto" w:fill="FFFFFF" w:themeFill="background1"/>
      </w:tcPr>
    </w:tblStylePr>
  </w:style>
  <w:style w:type="table" w:styleId="196">
    <w:name w:val="Medium Grid 3"/>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BFBFBF" w:themeFill="tex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B2DEF2" w:themeFill="accen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156082" w:themeFill="accen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156082" w:themeFill="accen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5BDE6" w:themeFill="accen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65BDE6" w:themeFill="accent1" w:themeFillTint="7F"/>
      </w:tcPr>
    </w:tblStylePr>
  </w:style>
  <w:style w:type="table" w:styleId="198">
    <w:name w:val="Medium Grid 3 Accent 2"/>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F9DBCC" w:themeFill="accent2"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97132" w:themeFill="accent2"/>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97132" w:themeFill="accent2"/>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898" w:themeFill="accent2"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4B8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B3EDBB" w:themeFill="accent3"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196B24" w:themeFill="accent3"/>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196B24" w:themeFill="accent3"/>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6" w:themeFill="accent3"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66DB76"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BDE9FA" w:themeFill="accent4"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F9ED5" w:themeFill="accent4"/>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F9ED5" w:themeFill="accent4"/>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BD3F5" w:themeFill="accent4" w:themeFillTint="7F"/>
      </w:tcPr>
    </w:tblStylePr>
  </w:style>
  <w:style w:type="table" w:styleId="201">
    <w:name w:val="Medium Grid 3 Accent 5"/>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EEC3EA" w:themeFill="accent5"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02B93" w:themeFill="accent5"/>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02B93" w:themeFill="accent5"/>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E86D4" w:themeFill="accent5" w:themeFillTint="7F"/>
      </w:tcPr>
    </w:tblStylePr>
  </w:style>
  <w:style w:type="table" w:styleId="202">
    <w:name w:val="Medium Grid 3 Accent 6"/>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D0EFC5" w:themeFill="accent6"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EA72E" w:themeFill="accent6"/>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EA72E" w:themeFill="accent6"/>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DF8B" w:themeFill="accent6"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DF8B" w:themeFill="accent6" w:themeFillTint="7F"/>
      </w:tcPr>
    </w:tblStylePr>
  </w:style>
  <w:style w:type="table" w:styleId="203">
    <w:name w:val="Dark List"/>
    <w:basedOn w:val="88"/>
    <w:semiHidden/>
    <w:unhideWhenUsed/>
    <w:uiPriority w:val="70"/>
    <w:rPr>
      <w:color w:val="FFFFFF" w:themeColor="background1"/>
      <w14:textFill>
        <w14:solidFill>
          <w14:schemeClr w14:val="bg1"/>
        </w14:solidFill>
      </w14:textFill>
    </w:rPr>
    <w:tblPr>
      <w:tblStyleRowBandSize w:val="1"/>
      <w:tblStyleColBandSize w:val="1"/>
      <w:tblLayout w:type="fixed"/>
    </w:tblPr>
    <w:tcPr>
      <w:shd w:val="clear" w:color="auto" w:fill="000000" w:themeFill="tex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blLayout w:type="fixed"/>
      </w:tblPr>
      <w:tcPr>
        <w:tcBorders>
          <w:top w:val="nil"/>
          <w:left w:val="nil"/>
          <w:bottom w:val="nil"/>
          <w:right w:val="nil"/>
          <w:insideH w:val="nil"/>
          <w:insideV w:val="nil"/>
        </w:tcBorders>
        <w:shd w:val="clear" w:color="auto" w:fill="000000" w:themeFill="text1" w:themeFillShade="BF"/>
      </w:tcPr>
    </w:tblStylePr>
    <w:tblStylePr w:type="band1Horz">
      <w:tblPr>
        <w:tblLayout w:type="fixed"/>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uiPriority w:val="70"/>
    <w:rPr>
      <w:color w:val="FFFFFF" w:themeColor="background1"/>
      <w14:textFill>
        <w14:solidFill>
          <w14:schemeClr w14:val="bg1"/>
        </w14:solidFill>
      </w14:textFill>
    </w:rPr>
    <w:tblPr>
      <w:tblStyleRowBandSize w:val="1"/>
      <w:tblStyleColBandSize w:val="1"/>
      <w:tblLayout w:type="fixed"/>
    </w:tblPr>
    <w:tcPr>
      <w:shd w:val="clear" w:color="auto" w:fill="156082" w:themeFill="accen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blLayout w:type="fixed"/>
      </w:tblPr>
      <w:tcPr>
        <w:tcBorders>
          <w:top w:val="nil"/>
          <w:left w:val="nil"/>
          <w:bottom w:val="nil"/>
          <w:right w:val="nil"/>
          <w:insideH w:val="nil"/>
          <w:insideV w:val="nil"/>
        </w:tcBorders>
        <w:shd w:val="clear" w:color="auto" w:fill="0F4761" w:themeFill="accent1" w:themeFillShade="BF"/>
      </w:tcPr>
    </w:tblStylePr>
    <w:tblStylePr w:type="band1Horz">
      <w:tblPr>
        <w:tblLayout w:type="fixed"/>
      </w:tblPr>
      <w:tcPr>
        <w:tcBorders>
          <w:top w:val="nil"/>
          <w:left w:val="nil"/>
          <w:bottom w:val="nil"/>
          <w:right w:val="nil"/>
          <w:insideH w:val="nil"/>
          <w:insideV w:val="nil"/>
        </w:tcBorders>
        <w:shd w:val="clear" w:color="auto" w:fill="0F4761" w:themeFill="accent1" w:themeFillShade="BF"/>
      </w:tcPr>
    </w:tblStylePr>
  </w:style>
  <w:style w:type="table" w:styleId="205">
    <w:name w:val="Dark List Accent 2"/>
    <w:basedOn w:val="88"/>
    <w:semiHidden/>
    <w:unhideWhenUsed/>
    <w:uiPriority w:val="70"/>
    <w:rPr>
      <w:color w:val="FFFFFF" w:themeColor="background1"/>
      <w14:textFill>
        <w14:solidFill>
          <w14:schemeClr w14:val="bg1"/>
        </w14:solidFill>
      </w14:textFill>
    </w:rPr>
    <w:tblPr>
      <w:tblStyleRowBandSize w:val="1"/>
      <w:tblStyleColBandSize w:val="1"/>
      <w:tblLayout w:type="fixed"/>
    </w:tblPr>
    <w:tcPr>
      <w:shd w:val="clear" w:color="auto" w:fill="E97132" w:themeFill="accent2"/>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BF4F14" w:themeFill="accent2"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BF4F14" w:themeFill="accent2" w:themeFillShade="BF"/>
      </w:tcPr>
    </w:tblStylePr>
    <w:tblStylePr w:type="band1Vert">
      <w:tblPr>
        <w:tblLayout w:type="fixed"/>
      </w:tblPr>
      <w:tcPr>
        <w:tcBorders>
          <w:top w:val="nil"/>
          <w:left w:val="nil"/>
          <w:bottom w:val="nil"/>
          <w:right w:val="nil"/>
          <w:insideH w:val="nil"/>
          <w:insideV w:val="nil"/>
        </w:tcBorders>
        <w:shd w:val="clear" w:color="auto" w:fill="BF4F14" w:themeFill="accent2" w:themeFillShade="BF"/>
      </w:tcPr>
    </w:tblStylePr>
    <w:tblStylePr w:type="band1Horz">
      <w:tblPr>
        <w:tblLayout w:type="fixed"/>
      </w:tblPr>
      <w:tcPr>
        <w:tcBorders>
          <w:top w:val="nil"/>
          <w:left w:val="nil"/>
          <w:bottom w:val="nil"/>
          <w:right w:val="nil"/>
          <w:insideH w:val="nil"/>
          <w:insideV w:val="nil"/>
        </w:tcBorders>
        <w:shd w:val="clear" w:color="auto" w:fill="BF4F14" w:themeFill="accent2" w:themeFillShade="BF"/>
      </w:tcPr>
    </w:tblStylePr>
  </w:style>
  <w:style w:type="table" w:styleId="206">
    <w:name w:val="Dark List Accent 3"/>
    <w:basedOn w:val="88"/>
    <w:semiHidden/>
    <w:unhideWhenUsed/>
    <w:uiPriority w:val="70"/>
    <w:rPr>
      <w:color w:val="FFFFFF" w:themeColor="background1"/>
      <w14:textFill>
        <w14:solidFill>
          <w14:schemeClr w14:val="bg1"/>
        </w14:solidFill>
      </w14:textFill>
    </w:rPr>
    <w:tblPr>
      <w:tblStyleRowBandSize w:val="1"/>
      <w:tblStyleColBandSize w:val="1"/>
      <w:tblLayout w:type="fixed"/>
    </w:tblPr>
    <w:tcPr>
      <w:shd w:val="clear" w:color="auto" w:fill="196B24" w:themeFill="accent3"/>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12501A" w:themeFill="accent3"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12501A" w:themeFill="accent3" w:themeFillShade="BF"/>
      </w:tcPr>
    </w:tblStylePr>
    <w:tblStylePr w:type="band1Vert">
      <w:tblPr>
        <w:tblLayout w:type="fixed"/>
      </w:tblPr>
      <w:tcPr>
        <w:tcBorders>
          <w:top w:val="nil"/>
          <w:left w:val="nil"/>
          <w:bottom w:val="nil"/>
          <w:right w:val="nil"/>
          <w:insideH w:val="nil"/>
          <w:insideV w:val="nil"/>
        </w:tcBorders>
        <w:shd w:val="clear" w:color="auto" w:fill="12501A" w:themeFill="accent3" w:themeFillShade="BF"/>
      </w:tcPr>
    </w:tblStylePr>
    <w:tblStylePr w:type="band1Horz">
      <w:tblPr>
        <w:tblLayout w:type="fixed"/>
      </w:tblPr>
      <w:tcPr>
        <w:tcBorders>
          <w:top w:val="nil"/>
          <w:left w:val="nil"/>
          <w:bottom w:val="nil"/>
          <w:right w:val="nil"/>
          <w:insideH w:val="nil"/>
          <w:insideV w:val="nil"/>
        </w:tcBorders>
        <w:shd w:val="clear" w:color="auto" w:fill="12501A" w:themeFill="accent3" w:themeFillShade="BF"/>
      </w:tcPr>
    </w:tblStylePr>
  </w:style>
  <w:style w:type="table" w:styleId="207">
    <w:name w:val="Dark List Accent 4"/>
    <w:basedOn w:val="88"/>
    <w:semiHidden/>
    <w:unhideWhenUsed/>
    <w:uiPriority w:val="70"/>
    <w:rPr>
      <w:color w:val="FFFFFF" w:themeColor="background1"/>
      <w14:textFill>
        <w14:solidFill>
          <w14:schemeClr w14:val="bg1"/>
        </w14:solidFill>
      </w14:textFill>
    </w:rPr>
    <w:tblPr>
      <w:tblStyleRowBandSize w:val="1"/>
      <w:tblStyleColBandSize w:val="1"/>
      <w:tblLayout w:type="fixed"/>
    </w:tblPr>
    <w:tcPr>
      <w:shd w:val="clear" w:color="auto" w:fill="0F9ED5" w:themeFill="accent4"/>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74E6A" w:themeFill="accent4"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blLayout w:type="fixed"/>
      </w:tblPr>
      <w:tcPr>
        <w:tcBorders>
          <w:top w:val="nil"/>
          <w:left w:val="nil"/>
          <w:bottom w:val="nil"/>
          <w:right w:val="nil"/>
          <w:insideH w:val="nil"/>
          <w:insideV w:val="nil"/>
        </w:tcBorders>
        <w:shd w:val="clear" w:color="auto" w:fill="0B769F" w:themeFill="accent4" w:themeFillShade="BF"/>
      </w:tcPr>
    </w:tblStylePr>
    <w:tblStylePr w:type="band1Horz">
      <w:tblPr>
        <w:tblLayout w:type="fixed"/>
      </w:tblPr>
      <w:tcPr>
        <w:tcBorders>
          <w:top w:val="nil"/>
          <w:left w:val="nil"/>
          <w:bottom w:val="nil"/>
          <w:right w:val="nil"/>
          <w:insideH w:val="nil"/>
          <w:insideV w:val="nil"/>
        </w:tcBorders>
        <w:shd w:val="clear" w:color="auto" w:fill="0B769F" w:themeFill="accent4" w:themeFillShade="BF"/>
      </w:tcPr>
    </w:tblStylePr>
  </w:style>
  <w:style w:type="table" w:styleId="208">
    <w:name w:val="Dark List Accent 5"/>
    <w:basedOn w:val="88"/>
    <w:semiHidden/>
    <w:unhideWhenUsed/>
    <w:uiPriority w:val="70"/>
    <w:rPr>
      <w:color w:val="FFFFFF" w:themeColor="background1"/>
      <w14:textFill>
        <w14:solidFill>
          <w14:schemeClr w14:val="bg1"/>
        </w14:solidFill>
      </w14:textFill>
    </w:rPr>
    <w:tblPr>
      <w:tblStyleRowBandSize w:val="1"/>
      <w:tblStyleColBandSize w:val="1"/>
      <w:tblLayout w:type="fixed"/>
    </w:tblPr>
    <w:tcPr>
      <w:shd w:val="clear" w:color="auto" w:fill="A02B93" w:themeFill="accent5"/>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4F1549" w:themeFill="accent5"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77206E" w:themeFill="accent5"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77206E" w:themeFill="accent5" w:themeFillShade="BF"/>
      </w:tcPr>
    </w:tblStylePr>
    <w:tblStylePr w:type="band1Vert">
      <w:tblPr>
        <w:tblLayout w:type="fixed"/>
      </w:tblPr>
      <w:tcPr>
        <w:tcBorders>
          <w:top w:val="nil"/>
          <w:left w:val="nil"/>
          <w:bottom w:val="nil"/>
          <w:right w:val="nil"/>
          <w:insideH w:val="nil"/>
          <w:insideV w:val="nil"/>
        </w:tcBorders>
        <w:shd w:val="clear" w:color="auto" w:fill="77206E" w:themeFill="accent5" w:themeFillShade="BF"/>
      </w:tcPr>
    </w:tblStylePr>
    <w:tblStylePr w:type="band1Horz">
      <w:tblPr>
        <w:tblLayout w:type="fixed"/>
      </w:tblPr>
      <w:tcPr>
        <w:tcBorders>
          <w:top w:val="nil"/>
          <w:left w:val="nil"/>
          <w:bottom w:val="nil"/>
          <w:right w:val="nil"/>
          <w:insideH w:val="nil"/>
          <w:insideV w:val="nil"/>
        </w:tcBorders>
        <w:shd w:val="clear" w:color="auto" w:fill="77206E" w:themeFill="accent5" w:themeFillShade="BF"/>
      </w:tcPr>
    </w:tblStylePr>
  </w:style>
  <w:style w:type="table" w:styleId="209">
    <w:name w:val="Dark List Accent 6"/>
    <w:basedOn w:val="88"/>
    <w:semiHidden/>
    <w:unhideWhenUsed/>
    <w:uiPriority w:val="70"/>
    <w:rPr>
      <w:color w:val="FFFFFF" w:themeColor="background1"/>
      <w14:textFill>
        <w14:solidFill>
          <w14:schemeClr w14:val="bg1"/>
        </w14:solidFill>
      </w14:textFill>
    </w:rPr>
    <w:tblPr>
      <w:tblStyleRowBandSize w:val="1"/>
      <w:tblStyleColBandSize w:val="1"/>
      <w:tblLayout w:type="fixed"/>
    </w:tblPr>
    <w:tcPr>
      <w:shd w:val="clear" w:color="auto" w:fill="4EA72E" w:themeFill="accent6"/>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65316" w:themeFill="accent6"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A7D22" w:themeFill="accent6"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A7D22" w:themeFill="accent6" w:themeFillShade="BF"/>
      </w:tcPr>
    </w:tblStylePr>
    <w:tblStylePr w:type="band1Vert">
      <w:tblPr>
        <w:tblLayout w:type="fixed"/>
      </w:tblPr>
      <w:tcPr>
        <w:tcBorders>
          <w:top w:val="nil"/>
          <w:left w:val="nil"/>
          <w:bottom w:val="nil"/>
          <w:right w:val="nil"/>
          <w:insideH w:val="nil"/>
          <w:insideV w:val="nil"/>
        </w:tcBorders>
        <w:shd w:val="clear" w:color="auto" w:fill="3A7D22" w:themeFill="accent6" w:themeFillShade="BF"/>
      </w:tcPr>
    </w:tblStylePr>
    <w:tblStylePr w:type="band1Horz">
      <w:tblPr>
        <w:tblLayout w:type="fixed"/>
      </w:tblPr>
      <w:tcPr>
        <w:tcBorders>
          <w:top w:val="nil"/>
          <w:left w:val="nil"/>
          <w:bottom w:val="nil"/>
          <w:right w:val="nil"/>
          <w:insideH w:val="nil"/>
          <w:insideV w:val="nil"/>
        </w:tcBorders>
        <w:shd w:val="clear" w:color="auto" w:fill="3A7D22" w:themeFill="accent6" w:themeFillShade="BF"/>
      </w:tcPr>
    </w:tblStylePr>
  </w:style>
  <w:style w:type="table" w:styleId="210">
    <w:name w:val="Colorful Shading"/>
    <w:basedOn w:val="88"/>
    <w:semiHidden/>
    <w:unhideWhenUsed/>
    <w:uiPriority w:val="71"/>
    <w:rPr>
      <w:color w:val="000000" w:themeColor="text1"/>
      <w14:textFill>
        <w14:solidFill>
          <w14:schemeClr w14:val="tx1"/>
        </w14:solidFill>
      </w14:textFill>
    </w:rPr>
    <w:tblPr>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Layout w:type="fixed"/>
    </w:tblPr>
    <w:tcPr>
      <w:shd w:val="clear" w:color="auto" w:fill="E5E5E5" w:themeFill="text1" w:themeFillTint="19"/>
    </w:tcPr>
    <w:tblStylePr w:type="firstRow">
      <w:rPr>
        <w:b/>
        <w:bCs/>
      </w:rPr>
      <w:tblPr>
        <w:tblLayout w:type="fixed"/>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0000" w:themeFill="text1" w:themeFillShade="BF"/>
      </w:tcPr>
    </w:tblStylePr>
    <w:tblStylePr w:type="band1Vert">
      <w:tblPr>
        <w:tblLayout w:type="fixed"/>
      </w:tblPr>
      <w:tcPr>
        <w:shd w:val="clear" w:color="auto" w:fill="999999" w:themeFill="text1" w:themeFillTint="66"/>
      </w:tcPr>
    </w:tblStylePr>
    <w:tblStylePr w:type="band1Horz">
      <w:tblPr>
        <w:tblLayout w:type="fixed"/>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uiPriority w:val="71"/>
    <w:rPr>
      <w:color w:val="000000" w:themeColor="text1"/>
      <w14:textFill>
        <w14:solidFill>
          <w14:schemeClr w14:val="tx1"/>
        </w14:solidFill>
      </w14:textFill>
    </w:rPr>
    <w:tblPr>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Layout w:type="fixed"/>
    </w:tblPr>
    <w:tcPr>
      <w:shd w:val="clear" w:color="auto" w:fill="E0F2FA" w:themeFill="accent1" w:themeFillTint="19"/>
    </w:tcPr>
    <w:tblStylePr w:type="firstRow">
      <w:rPr>
        <w:b/>
        <w:bCs/>
      </w:rPr>
      <w:tblPr>
        <w:tblLayout w:type="fixed"/>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C394D" w:themeFill="accen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C394D" w:themeFill="accen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C394D" w:themeFill="accent1" w:themeFillShade="99"/>
      </w:tcPr>
    </w:tblStylePr>
    <w:tblStylePr w:type="band1Vert">
      <w:tblPr>
        <w:tblLayout w:type="fixed"/>
      </w:tblPr>
      <w:tcPr>
        <w:shd w:val="clear" w:color="auto" w:fill="83CAEB" w:themeFill="accent1" w:themeFillTint="66"/>
      </w:tcPr>
    </w:tblStylePr>
    <w:tblStylePr w:type="band1Horz">
      <w:tblPr>
        <w:tblLayout w:type="fixed"/>
      </w:tblPr>
      <w:tcPr>
        <w:shd w:val="clear" w:color="auto" w:fill="65BDE6"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uiPriority w:val="71"/>
    <w:rPr>
      <w:color w:val="000000" w:themeColor="text1"/>
      <w14:textFill>
        <w14:solidFill>
          <w14:schemeClr w14:val="tx1"/>
        </w14:solidFill>
      </w14:textFill>
    </w:rPr>
    <w:tblPr>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Layout w:type="fixed"/>
    </w:tblPr>
    <w:tcPr>
      <w:shd w:val="clear" w:color="auto" w:fill="FCF1EA" w:themeFill="accent2" w:themeFillTint="19"/>
    </w:tcPr>
    <w:tblStylePr w:type="firstRow">
      <w:rPr>
        <w:b/>
        <w:bCs/>
      </w:rPr>
      <w:tblPr>
        <w:tblLayout w:type="fixed"/>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993F10" w:themeFill="accent2"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993F10" w:themeFill="accent2"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993F10" w:themeFill="accent2" w:themeFillShade="99"/>
      </w:tcPr>
    </w:tblStylePr>
    <w:tblStylePr w:type="band1Vert">
      <w:tblPr>
        <w:tblLayout w:type="fixed"/>
      </w:tblPr>
      <w:tcPr>
        <w:shd w:val="clear" w:color="auto" w:fill="F6C6AC" w:themeFill="accent2" w:themeFillTint="66"/>
      </w:tcPr>
    </w:tblStylePr>
    <w:tblStylePr w:type="band1Horz">
      <w:tblPr>
        <w:tblLayout w:type="fixed"/>
      </w:tblPr>
      <w:tcPr>
        <w:shd w:val="clear" w:color="auto" w:fill="F4B8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uiPriority w:val="71"/>
    <w:rPr>
      <w:color w:val="000000" w:themeColor="text1"/>
      <w14:textFill>
        <w14:solidFill>
          <w14:schemeClr w14:val="tx1"/>
        </w14:solidFill>
      </w14:textFill>
    </w:rPr>
    <w:tblPr>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Layout w:type="fixed"/>
    </w:tblPr>
    <w:tcPr>
      <w:shd w:val="clear" w:color="auto" w:fill="E0F7E4" w:themeFill="accent3" w:themeFillTint="19"/>
    </w:tcPr>
    <w:tblStylePr w:type="firstRow">
      <w:rPr>
        <w:b/>
        <w:bCs/>
      </w:rPr>
      <w:tblPr>
        <w:tblLayout w:type="fixed"/>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E4015" w:themeFill="accent3"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E4015" w:themeFill="accent3"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E4015" w:themeFill="accent3" w:themeFillShade="99"/>
      </w:tcPr>
    </w:tblStylePr>
    <w:tblStylePr w:type="band1Vert">
      <w:tblPr>
        <w:tblLayout w:type="fixed"/>
      </w:tblPr>
      <w:tcPr>
        <w:shd w:val="clear" w:color="auto" w:fill="84E291" w:themeFill="accent3" w:themeFillTint="66"/>
      </w:tcPr>
    </w:tblStylePr>
    <w:tblStylePr w:type="band1Horz">
      <w:tblPr>
        <w:tblLayout w:type="fixed"/>
      </w:tblPr>
      <w:tcPr>
        <w:shd w:val="clear" w:color="auto" w:fill="66DB76" w:themeFill="accent3" w:themeFillTint="7F"/>
      </w:tcPr>
    </w:tblStylePr>
  </w:style>
  <w:style w:type="table" w:styleId="214">
    <w:name w:val="Colorful Shading Accent 4"/>
    <w:basedOn w:val="88"/>
    <w:semiHidden/>
    <w:unhideWhenUsed/>
    <w:uiPriority w:val="71"/>
    <w:rPr>
      <w:color w:val="000000" w:themeColor="text1"/>
      <w14:textFill>
        <w14:solidFill>
          <w14:schemeClr w14:val="tx1"/>
        </w14:solidFill>
      </w14:textFill>
    </w:rPr>
    <w:tblPr>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Layout w:type="fixed"/>
    </w:tblPr>
    <w:tcPr>
      <w:shd w:val="clear" w:color="auto" w:fill="E5F6FD" w:themeFill="accent4" w:themeFillTint="19"/>
    </w:tcPr>
    <w:tblStylePr w:type="firstRow">
      <w:rPr>
        <w:b/>
        <w:bCs/>
      </w:rPr>
      <w:tblPr>
        <w:tblLayout w:type="fixed"/>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85E7F" w:themeFill="accent4"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85E7F" w:themeFill="accent4"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85E7F" w:themeFill="accent4" w:themeFillShade="99"/>
      </w:tcPr>
    </w:tblStylePr>
    <w:tblStylePr w:type="band1Vert">
      <w:tblPr>
        <w:tblLayout w:type="fixed"/>
      </w:tblPr>
      <w:tcPr>
        <w:shd w:val="clear" w:color="auto" w:fill="95DCF7" w:themeFill="accent4" w:themeFillTint="66"/>
      </w:tcPr>
    </w:tblStylePr>
    <w:tblStylePr w:type="band1Horz">
      <w:tblPr>
        <w:tblLayout w:type="fixed"/>
      </w:tblPr>
      <w:tcPr>
        <w:shd w:val="clear" w:color="auto" w:fill="7BD3F5"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uiPriority w:val="71"/>
    <w:rPr>
      <w:color w:val="000000" w:themeColor="text1"/>
      <w14:textFill>
        <w14:solidFill>
          <w14:schemeClr w14:val="tx1"/>
        </w14:solidFill>
      </w14:textFill>
    </w:rPr>
    <w:tblPr>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Layout w:type="fixed"/>
    </w:tblPr>
    <w:tcPr>
      <w:shd w:val="clear" w:color="auto" w:fill="F8E7F6" w:themeFill="accent5" w:themeFillTint="19"/>
    </w:tcPr>
    <w:tblStylePr w:type="firstRow">
      <w:rPr>
        <w:b/>
        <w:bCs/>
      </w:rPr>
      <w:tblPr>
        <w:tblLayout w:type="fixed"/>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5F1958" w:themeFill="accent5"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5F1958" w:themeFill="accent5"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5F1958" w:themeFill="accent5" w:themeFillShade="99"/>
      </w:tcPr>
    </w:tblStylePr>
    <w:tblStylePr w:type="band1Vert">
      <w:tblPr>
        <w:tblLayout w:type="fixed"/>
      </w:tblPr>
      <w:tcPr>
        <w:shd w:val="clear" w:color="auto" w:fill="E49EDD" w:themeFill="accent5" w:themeFillTint="66"/>
      </w:tcPr>
    </w:tblStylePr>
    <w:tblStylePr w:type="band1Horz">
      <w:tblPr>
        <w:tblLayout w:type="fixed"/>
      </w:tblPr>
      <w:tcPr>
        <w:shd w:val="clear" w:color="auto" w:fill="DE86D4"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uiPriority w:val="71"/>
    <w:rPr>
      <w:color w:val="000000" w:themeColor="text1"/>
      <w14:textFill>
        <w14:solidFill>
          <w14:schemeClr w14:val="tx1"/>
        </w14:solidFill>
      </w14:textFill>
    </w:rPr>
    <w:tblPr>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Layout w:type="fixed"/>
    </w:tblPr>
    <w:tcPr>
      <w:shd w:val="clear" w:color="auto" w:fill="ECF8E8" w:themeFill="accent6" w:themeFillTint="19"/>
    </w:tcPr>
    <w:tblStylePr w:type="firstRow">
      <w:rPr>
        <w:b/>
        <w:bCs/>
      </w:rPr>
      <w:tblPr>
        <w:tblLayout w:type="fixed"/>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E641B" w:themeFill="accent6"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E641B" w:themeFill="accent6"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E641B" w:themeFill="accent6" w:themeFillShade="99"/>
      </w:tcPr>
    </w:tblStylePr>
    <w:tblStylePr w:type="band1Vert">
      <w:tblPr>
        <w:tblLayout w:type="fixed"/>
      </w:tblPr>
      <w:tcPr>
        <w:shd w:val="clear" w:color="auto" w:fill="B3E5A1" w:themeFill="accent6" w:themeFillTint="66"/>
      </w:tcPr>
    </w:tblStylePr>
    <w:tblStylePr w:type="band1Horz">
      <w:tblPr>
        <w:tblLayout w:type="fixed"/>
      </w:tblPr>
      <w:tcPr>
        <w:shd w:val="clear" w:color="auto" w:fill="A1DF8B"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uiPriority w:val="72"/>
    <w:rPr>
      <w:color w:val="000000" w:themeColor="text1"/>
      <w14:textFill>
        <w14:solidFill>
          <w14:schemeClr w14:val="tx1"/>
        </w14:solidFill>
      </w14:textFill>
    </w:rPr>
    <w:tblPr>
      <w:tblStyleRowBandSize w:val="1"/>
      <w:tblStyleColBandSize w:val="1"/>
      <w:tblLayout w:type="fixed"/>
    </w:tblPr>
    <w:tcPr>
      <w:shd w:val="clear" w:color="auto" w:fill="E5E5E5" w:themeFill="tex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CC5415" w:themeFill="accent2" w:themeFillShade="CC"/>
      </w:tcPr>
    </w:tblStylePr>
    <w:tblStylePr w:type="lastRow">
      <w:rPr>
        <w:b/>
        <w:bCs/>
        <w:color w:val="CC5516"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FBFBF" w:themeFill="text1" w:themeFillTint="3F"/>
      </w:tcPr>
    </w:tblStylePr>
    <w:tblStylePr w:type="band1Horz">
      <w:tblPr>
        <w:tblLayout w:type="fixed"/>
      </w:tblPr>
      <w:tcPr>
        <w:shd w:val="clear" w:color="auto" w:fill="CCCCCC" w:themeFill="text1" w:themeFillTint="33"/>
      </w:tcPr>
    </w:tblStylePr>
  </w:style>
  <w:style w:type="table" w:styleId="218">
    <w:name w:val="Colorful List Accent 1"/>
    <w:basedOn w:val="88"/>
    <w:semiHidden/>
    <w:unhideWhenUsed/>
    <w:uiPriority w:val="72"/>
    <w:rPr>
      <w:color w:val="000000" w:themeColor="text1"/>
      <w14:textFill>
        <w14:solidFill>
          <w14:schemeClr w14:val="tx1"/>
        </w14:solidFill>
      </w14:textFill>
    </w:rPr>
    <w:tblPr>
      <w:tblStyleRowBandSize w:val="1"/>
      <w:tblStyleColBandSize w:val="1"/>
      <w:tblLayout w:type="fixed"/>
    </w:tblPr>
    <w:tcPr>
      <w:shd w:val="clear" w:color="auto" w:fill="E0F2FA" w:themeFill="accen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CC5415" w:themeFill="accent2" w:themeFillShade="CC"/>
      </w:tcPr>
    </w:tblStylePr>
    <w:tblStylePr w:type="lastRow">
      <w:rPr>
        <w:b/>
        <w:bCs/>
        <w:color w:val="CC5516"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2DEF2" w:themeFill="accent1" w:themeFillTint="3F"/>
      </w:tcPr>
    </w:tblStylePr>
    <w:tblStylePr w:type="band1Horz">
      <w:tblPr>
        <w:tblLayout w:type="fixed"/>
      </w:tblPr>
      <w:tcPr>
        <w:shd w:val="clear" w:color="auto" w:fill="C1E4F5" w:themeFill="accent1" w:themeFillTint="33"/>
      </w:tcPr>
    </w:tblStylePr>
  </w:style>
  <w:style w:type="table" w:styleId="219">
    <w:name w:val="Colorful List Accent 2"/>
    <w:basedOn w:val="88"/>
    <w:semiHidden/>
    <w:unhideWhenUsed/>
    <w:uiPriority w:val="72"/>
    <w:rPr>
      <w:color w:val="000000" w:themeColor="text1"/>
      <w14:textFill>
        <w14:solidFill>
          <w14:schemeClr w14:val="tx1"/>
        </w14:solidFill>
      </w14:textFill>
    </w:rPr>
    <w:tblPr>
      <w:tblStyleRowBandSize w:val="1"/>
      <w:tblStyleColBandSize w:val="1"/>
      <w:tblLayout w:type="fixed"/>
    </w:tblPr>
    <w:tcPr>
      <w:shd w:val="clear" w:color="auto" w:fill="FCF1EA" w:themeFill="accent2"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CC5415" w:themeFill="accent2" w:themeFillShade="CC"/>
      </w:tcPr>
    </w:tblStylePr>
    <w:tblStylePr w:type="lastRow">
      <w:rPr>
        <w:b/>
        <w:bCs/>
        <w:color w:val="CC5516"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9DBCC" w:themeFill="accent2" w:themeFillTint="3F"/>
      </w:tcPr>
    </w:tblStylePr>
    <w:tblStylePr w:type="band1Horz">
      <w:tblPr>
        <w:tblLayout w:type="fixed"/>
      </w:tblPr>
      <w:tcPr>
        <w:shd w:val="clear" w:color="auto" w:fill="FAE2D5" w:themeFill="accent2" w:themeFillTint="33"/>
      </w:tcPr>
    </w:tblStylePr>
  </w:style>
  <w:style w:type="table" w:styleId="220">
    <w:name w:val="Colorful List Accent 3"/>
    <w:basedOn w:val="88"/>
    <w:semiHidden/>
    <w:unhideWhenUsed/>
    <w:uiPriority w:val="72"/>
    <w:rPr>
      <w:color w:val="000000" w:themeColor="text1"/>
      <w14:textFill>
        <w14:solidFill>
          <w14:schemeClr w14:val="tx1"/>
        </w14:solidFill>
      </w14:textFill>
    </w:rPr>
    <w:tblPr>
      <w:tblStyleRowBandSize w:val="1"/>
      <w:tblStyleColBandSize w:val="1"/>
      <w:tblLayout w:type="fixed"/>
    </w:tblPr>
    <w:tcPr>
      <w:shd w:val="clear" w:color="auto" w:fill="E0F7E4" w:themeFill="accent3"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0B7EAA" w:themeFill="accent4" w:themeFillShade="CC"/>
      </w:tcPr>
    </w:tblStylePr>
    <w:tblStylePr w:type="lastRow">
      <w:rPr>
        <w:b/>
        <w:bCs/>
        <w:color w:val="0C7EAA" w:themeColor="accent4"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3EDBB" w:themeFill="accent3" w:themeFillTint="3F"/>
      </w:tcPr>
    </w:tblStylePr>
    <w:tblStylePr w:type="band1Horz">
      <w:tblPr>
        <w:tblLayout w:type="fixed"/>
      </w:tblPr>
      <w:tcPr>
        <w:shd w:val="clear" w:color="auto" w:fill="C1F0C8" w:themeFill="accent3" w:themeFillTint="33"/>
      </w:tcPr>
    </w:tblStylePr>
  </w:style>
  <w:style w:type="table" w:styleId="221">
    <w:name w:val="Colorful List Accent 4"/>
    <w:basedOn w:val="88"/>
    <w:semiHidden/>
    <w:unhideWhenUsed/>
    <w:uiPriority w:val="72"/>
    <w:rPr>
      <w:color w:val="000000" w:themeColor="text1"/>
      <w14:textFill>
        <w14:solidFill>
          <w14:schemeClr w14:val="tx1"/>
        </w14:solidFill>
      </w14:textFill>
    </w:rPr>
    <w:tblPr>
      <w:tblStyleRowBandSize w:val="1"/>
      <w:tblStyleColBandSize w:val="1"/>
      <w:tblLayout w:type="fixed"/>
    </w:tblPr>
    <w:tcPr>
      <w:shd w:val="clear" w:color="auto" w:fill="E5F6FD" w:themeFill="accent4"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13551C" w:themeFill="accent3" w:themeFillShade="CC"/>
      </w:tcPr>
    </w:tblStylePr>
    <w:tblStylePr w:type="lastRow">
      <w:rPr>
        <w:b/>
        <w:bCs/>
        <w:color w:val="14561D" w:themeColor="accent3"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DE9FA" w:themeFill="accent4" w:themeFillTint="3F"/>
      </w:tcPr>
    </w:tblStylePr>
    <w:tblStylePr w:type="band1Horz">
      <w:tblPr>
        <w:tblLayout w:type="fixed"/>
      </w:tblPr>
      <w:tcPr>
        <w:shd w:val="clear" w:color="auto" w:fill="CAEDFB" w:themeFill="accent4" w:themeFillTint="33"/>
      </w:tcPr>
    </w:tblStylePr>
  </w:style>
  <w:style w:type="table" w:styleId="222">
    <w:name w:val="Colorful List Accent 5"/>
    <w:basedOn w:val="88"/>
    <w:semiHidden/>
    <w:unhideWhenUsed/>
    <w:uiPriority w:val="72"/>
    <w:rPr>
      <w:color w:val="000000" w:themeColor="text1"/>
      <w14:textFill>
        <w14:solidFill>
          <w14:schemeClr w14:val="tx1"/>
        </w14:solidFill>
      </w14:textFill>
    </w:rPr>
    <w:tblPr>
      <w:tblStyleRowBandSize w:val="1"/>
      <w:tblStyleColBandSize w:val="1"/>
      <w:tblLayout w:type="fixed"/>
    </w:tblPr>
    <w:tcPr>
      <w:shd w:val="clear" w:color="auto" w:fill="F8E7F6" w:themeFill="accent5"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3E8524" w:themeFill="accent6" w:themeFillShade="CC"/>
      </w:tcPr>
    </w:tblStylePr>
    <w:tblStylePr w:type="lastRow">
      <w:rPr>
        <w:b/>
        <w:bCs/>
        <w:color w:val="3E8625" w:themeColor="accent6"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EC3EA" w:themeFill="accent5" w:themeFillTint="3F"/>
      </w:tcPr>
    </w:tblStylePr>
    <w:tblStylePr w:type="band1Horz">
      <w:tblPr>
        <w:tblLayout w:type="fixed"/>
      </w:tblPr>
      <w:tcPr>
        <w:shd w:val="clear" w:color="auto" w:fill="F1CEEE" w:themeFill="accent5" w:themeFillTint="33"/>
      </w:tcPr>
    </w:tblStylePr>
  </w:style>
  <w:style w:type="table" w:styleId="223">
    <w:name w:val="Colorful List Accent 6"/>
    <w:basedOn w:val="88"/>
    <w:semiHidden/>
    <w:unhideWhenUsed/>
    <w:uiPriority w:val="72"/>
    <w:rPr>
      <w:color w:val="000000" w:themeColor="text1"/>
      <w14:textFill>
        <w14:solidFill>
          <w14:schemeClr w14:val="tx1"/>
        </w14:solidFill>
      </w14:textFill>
    </w:rPr>
    <w:tblPr>
      <w:tblStyleRowBandSize w:val="1"/>
      <w:tblStyleColBandSize w:val="1"/>
      <w:tblLayout w:type="fixed"/>
    </w:tblPr>
    <w:tcPr>
      <w:shd w:val="clear" w:color="auto" w:fill="ECF8E8" w:themeFill="accent6"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7F2275" w:themeFill="accent5" w:themeFillShade="CC"/>
      </w:tcPr>
    </w:tblStylePr>
    <w:tblStylePr w:type="lastRow">
      <w:rPr>
        <w:b/>
        <w:bCs/>
        <w:color w:val="802276" w:themeColor="accent5"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0EFC5" w:themeFill="accent6" w:themeFillTint="3F"/>
      </w:tcPr>
    </w:tblStylePr>
    <w:tblStylePr w:type="band1Horz">
      <w:tblPr>
        <w:tblLayout w:type="fixed"/>
      </w:tblPr>
      <w:tcPr>
        <w:shd w:val="clear" w:color="auto" w:fill="D9F2D0" w:themeFill="accent6" w:themeFillTint="33"/>
      </w:tcPr>
    </w:tblStylePr>
  </w:style>
  <w:style w:type="table" w:styleId="224">
    <w:name w:val="Colorful Grid"/>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CCCCCC" w:themeFill="text1" w:themeFillTint="33"/>
    </w:tcPr>
    <w:tblStylePr w:type="firstRow">
      <w:rPr>
        <w:b/>
        <w:bCs/>
      </w:rPr>
      <w:tblPr>
        <w:tblLayout w:type="fixed"/>
      </w:tblPr>
      <w:tcPr>
        <w:shd w:val="clear" w:color="auto" w:fill="999999" w:themeFill="text1" w:themeFillTint="66"/>
      </w:tcPr>
    </w:tblStylePr>
    <w:tblStylePr w:type="lastRow">
      <w:rPr>
        <w:b/>
        <w:bCs/>
        <w:color w:val="000000" w:themeColor="text1"/>
        <w14:textFill>
          <w14:solidFill>
            <w14:schemeClr w14:val="tx1"/>
          </w14:solidFill>
        </w14:textFill>
      </w:rPr>
      <w:tblPr>
        <w:tblLayout w:type="fixed"/>
      </w:tblPr>
      <w:tcPr>
        <w:shd w:val="clear" w:color="auto" w:fill="999999" w:themeFill="text1" w:themeFillTint="66"/>
      </w:tcPr>
    </w:tblStylePr>
    <w:tblStylePr w:type="firstCol">
      <w:rPr>
        <w:color w:val="FFFFFF" w:themeColor="background1"/>
        <w14:textFill>
          <w14:solidFill>
            <w14:schemeClr w14:val="bg1"/>
          </w14:solidFill>
        </w14:textFill>
      </w:rPr>
      <w:tblPr>
        <w:tblLayout w:type="fixed"/>
      </w:tblPr>
      <w:tcPr>
        <w:shd w:val="clear" w:color="auto" w:fill="000000" w:themeFill="text1" w:themeFillShade="BF"/>
      </w:tcPr>
    </w:tblStylePr>
    <w:tblStylePr w:type="lastCol">
      <w:rPr>
        <w:color w:val="FFFFFF" w:themeColor="background1"/>
        <w14:textFill>
          <w14:solidFill>
            <w14:schemeClr w14:val="bg1"/>
          </w14:solidFill>
        </w14:textFill>
      </w:rPr>
      <w:tblPr>
        <w:tblLayout w:type="fixed"/>
      </w:tblPr>
      <w:tcPr>
        <w:shd w:val="clear" w:color="auto" w:fill="000000" w:themeFill="text1" w:themeFillShade="BF"/>
      </w:tc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225">
    <w:name w:val="Colorful Grid Accent 1"/>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C1E4F5" w:themeFill="accent1" w:themeFillTint="33"/>
    </w:tcPr>
    <w:tblStylePr w:type="firstRow">
      <w:rPr>
        <w:b/>
        <w:bCs/>
      </w:rPr>
      <w:tblPr>
        <w:tblLayout w:type="fixed"/>
      </w:tblPr>
      <w:tcPr>
        <w:shd w:val="clear" w:color="auto" w:fill="83CAEB" w:themeFill="accent1" w:themeFillTint="66"/>
      </w:tcPr>
    </w:tblStylePr>
    <w:tblStylePr w:type="lastRow">
      <w:rPr>
        <w:b/>
        <w:bCs/>
        <w:color w:val="000000" w:themeColor="text1"/>
        <w14:textFill>
          <w14:solidFill>
            <w14:schemeClr w14:val="tx1"/>
          </w14:solidFill>
        </w14:textFill>
      </w:rPr>
      <w:tblPr>
        <w:tblLayout w:type="fixed"/>
      </w:tblPr>
      <w:tcPr>
        <w:shd w:val="clear" w:color="auto" w:fill="83CAEB" w:themeFill="accent1" w:themeFillTint="66"/>
      </w:tcPr>
    </w:tblStylePr>
    <w:tblStylePr w:type="firstCol">
      <w:rPr>
        <w:color w:val="FFFFFF" w:themeColor="background1"/>
        <w14:textFill>
          <w14:solidFill>
            <w14:schemeClr w14:val="bg1"/>
          </w14:solidFill>
        </w14:textFill>
      </w:rPr>
      <w:tblPr>
        <w:tblLayout w:type="fixed"/>
      </w:tblPr>
      <w:tcPr>
        <w:shd w:val="clear" w:color="auto" w:fill="0F4761" w:themeFill="accent1" w:themeFillShade="BF"/>
      </w:tcPr>
    </w:tblStylePr>
    <w:tblStylePr w:type="lastCol">
      <w:rPr>
        <w:color w:val="FFFFFF" w:themeColor="background1"/>
        <w14:textFill>
          <w14:solidFill>
            <w14:schemeClr w14:val="bg1"/>
          </w14:solidFill>
        </w14:textFill>
      </w:rPr>
      <w:tblPr>
        <w:tblLayout w:type="fixed"/>
      </w:tblPr>
      <w:tcPr>
        <w:shd w:val="clear" w:color="auto" w:fill="0F4761" w:themeFill="accent1" w:themeFillShade="BF"/>
      </w:tcPr>
    </w:tblStylePr>
    <w:tblStylePr w:type="band1Vert">
      <w:tblPr>
        <w:tblLayout w:type="fixed"/>
      </w:tblPr>
      <w:tcPr>
        <w:shd w:val="clear" w:color="auto" w:fill="65BDE6" w:themeFill="accent1" w:themeFillTint="7F"/>
      </w:tcPr>
    </w:tblStylePr>
    <w:tblStylePr w:type="band1Horz">
      <w:tblPr>
        <w:tblLayout w:type="fixed"/>
      </w:tblPr>
      <w:tcPr>
        <w:shd w:val="clear" w:color="auto" w:fill="65BDE6" w:themeFill="accent1" w:themeFillTint="7F"/>
      </w:tcPr>
    </w:tblStylePr>
  </w:style>
  <w:style w:type="table" w:styleId="226">
    <w:name w:val="Colorful Grid Accent 2"/>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FAE2D5" w:themeFill="accent2" w:themeFillTint="33"/>
    </w:tcPr>
    <w:tblStylePr w:type="firstRow">
      <w:rPr>
        <w:b/>
        <w:bCs/>
      </w:rPr>
      <w:tblPr>
        <w:tblLayout w:type="fixed"/>
      </w:tblPr>
      <w:tcPr>
        <w:shd w:val="clear" w:color="auto" w:fill="F6C6AC" w:themeFill="accent2" w:themeFillTint="66"/>
      </w:tcPr>
    </w:tblStylePr>
    <w:tblStylePr w:type="lastRow">
      <w:rPr>
        <w:b/>
        <w:bCs/>
        <w:color w:val="000000" w:themeColor="text1"/>
        <w14:textFill>
          <w14:solidFill>
            <w14:schemeClr w14:val="tx1"/>
          </w14:solidFill>
        </w14:textFill>
      </w:rPr>
      <w:tblPr>
        <w:tblLayout w:type="fixed"/>
      </w:tblPr>
      <w:tcPr>
        <w:shd w:val="clear" w:color="auto" w:fill="F6C6AC" w:themeFill="accent2" w:themeFillTint="66"/>
      </w:tcPr>
    </w:tblStylePr>
    <w:tblStylePr w:type="firstCol">
      <w:rPr>
        <w:color w:val="FFFFFF" w:themeColor="background1"/>
        <w14:textFill>
          <w14:solidFill>
            <w14:schemeClr w14:val="bg1"/>
          </w14:solidFill>
        </w14:textFill>
      </w:rPr>
      <w:tblPr>
        <w:tblLayout w:type="fixed"/>
      </w:tblPr>
      <w:tcPr>
        <w:shd w:val="clear" w:color="auto" w:fill="BF4F14" w:themeFill="accent2" w:themeFillShade="BF"/>
      </w:tcPr>
    </w:tblStylePr>
    <w:tblStylePr w:type="lastCol">
      <w:rPr>
        <w:color w:val="FFFFFF" w:themeColor="background1"/>
        <w14:textFill>
          <w14:solidFill>
            <w14:schemeClr w14:val="bg1"/>
          </w14:solidFill>
        </w14:textFill>
      </w:rPr>
      <w:tblPr>
        <w:tblLayout w:type="fixed"/>
      </w:tblPr>
      <w:tcPr>
        <w:shd w:val="clear" w:color="auto" w:fill="BF4F14" w:themeFill="accent2" w:themeFillShade="BF"/>
      </w:tcPr>
    </w:tblStylePr>
    <w:tblStylePr w:type="band1Vert">
      <w:tblPr>
        <w:tblLayout w:type="fixed"/>
      </w:tblPr>
      <w:tcPr>
        <w:shd w:val="clear" w:color="auto" w:fill="F4B898" w:themeFill="accent2" w:themeFillTint="7F"/>
      </w:tcPr>
    </w:tblStylePr>
    <w:tblStylePr w:type="band1Horz">
      <w:tblPr>
        <w:tblLayout w:type="fixed"/>
      </w:tblPr>
      <w:tcPr>
        <w:shd w:val="clear" w:color="auto" w:fill="F4B898" w:themeFill="accent2" w:themeFillTint="7F"/>
      </w:tcPr>
    </w:tblStylePr>
  </w:style>
  <w:style w:type="table" w:styleId="227">
    <w:name w:val="Colorful Grid Accent 3"/>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C1F0C8" w:themeFill="accent3" w:themeFillTint="33"/>
    </w:tcPr>
    <w:tblStylePr w:type="firstRow">
      <w:rPr>
        <w:b/>
        <w:bCs/>
      </w:rPr>
      <w:tblPr>
        <w:tblLayout w:type="fixed"/>
      </w:tblPr>
      <w:tcPr>
        <w:shd w:val="clear" w:color="auto" w:fill="84E291" w:themeFill="accent3" w:themeFillTint="66"/>
      </w:tcPr>
    </w:tblStylePr>
    <w:tblStylePr w:type="lastRow">
      <w:rPr>
        <w:b/>
        <w:bCs/>
        <w:color w:val="000000" w:themeColor="text1"/>
        <w14:textFill>
          <w14:solidFill>
            <w14:schemeClr w14:val="tx1"/>
          </w14:solidFill>
        </w14:textFill>
      </w:rPr>
      <w:tblPr>
        <w:tblLayout w:type="fixed"/>
      </w:tblPr>
      <w:tcPr>
        <w:shd w:val="clear" w:color="auto" w:fill="84E291" w:themeFill="accent3" w:themeFillTint="66"/>
      </w:tcPr>
    </w:tblStylePr>
    <w:tblStylePr w:type="firstCol">
      <w:rPr>
        <w:color w:val="FFFFFF" w:themeColor="background1"/>
        <w14:textFill>
          <w14:solidFill>
            <w14:schemeClr w14:val="bg1"/>
          </w14:solidFill>
        </w14:textFill>
      </w:rPr>
      <w:tblPr>
        <w:tblLayout w:type="fixed"/>
      </w:tblPr>
      <w:tcPr>
        <w:shd w:val="clear" w:color="auto" w:fill="12501A" w:themeFill="accent3" w:themeFillShade="BF"/>
      </w:tcPr>
    </w:tblStylePr>
    <w:tblStylePr w:type="lastCol">
      <w:rPr>
        <w:color w:val="FFFFFF" w:themeColor="background1"/>
        <w14:textFill>
          <w14:solidFill>
            <w14:schemeClr w14:val="bg1"/>
          </w14:solidFill>
        </w14:textFill>
      </w:rPr>
      <w:tblPr>
        <w:tblLayout w:type="fixed"/>
      </w:tblPr>
      <w:tcPr>
        <w:shd w:val="clear" w:color="auto" w:fill="12501A" w:themeFill="accent3" w:themeFillShade="BF"/>
      </w:tcPr>
    </w:tblStylePr>
    <w:tblStylePr w:type="band1Vert">
      <w:tblPr>
        <w:tblLayout w:type="fixed"/>
      </w:tblPr>
      <w:tcPr>
        <w:shd w:val="clear" w:color="auto" w:fill="66DB76" w:themeFill="accent3" w:themeFillTint="7F"/>
      </w:tcPr>
    </w:tblStylePr>
    <w:tblStylePr w:type="band1Horz">
      <w:tblPr>
        <w:tblLayout w:type="fixed"/>
      </w:tblPr>
      <w:tcPr>
        <w:shd w:val="clear" w:color="auto" w:fill="66DB76" w:themeFill="accent3" w:themeFillTint="7F"/>
      </w:tcPr>
    </w:tblStylePr>
  </w:style>
  <w:style w:type="table" w:styleId="228">
    <w:name w:val="Colorful Grid Accent 4"/>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CAEDFB" w:themeFill="accent4" w:themeFillTint="33"/>
    </w:tcPr>
    <w:tblStylePr w:type="firstRow">
      <w:rPr>
        <w:b/>
        <w:bCs/>
      </w:rPr>
      <w:tblPr>
        <w:tblLayout w:type="fixed"/>
      </w:tblPr>
      <w:tcPr>
        <w:shd w:val="clear" w:color="auto" w:fill="95DCF7" w:themeFill="accent4" w:themeFillTint="66"/>
      </w:tcPr>
    </w:tblStylePr>
    <w:tblStylePr w:type="lastRow">
      <w:rPr>
        <w:b/>
        <w:bCs/>
        <w:color w:val="000000" w:themeColor="text1"/>
        <w14:textFill>
          <w14:solidFill>
            <w14:schemeClr w14:val="tx1"/>
          </w14:solidFill>
        </w14:textFill>
      </w:rPr>
      <w:tblPr>
        <w:tblLayout w:type="fixed"/>
      </w:tblPr>
      <w:tcPr>
        <w:shd w:val="clear" w:color="auto" w:fill="95DCF7" w:themeFill="accent4" w:themeFillTint="66"/>
      </w:tcPr>
    </w:tblStylePr>
    <w:tblStylePr w:type="firstCol">
      <w:rPr>
        <w:color w:val="FFFFFF" w:themeColor="background1"/>
        <w14:textFill>
          <w14:solidFill>
            <w14:schemeClr w14:val="bg1"/>
          </w14:solidFill>
        </w14:textFill>
      </w:rPr>
      <w:tblPr>
        <w:tblLayout w:type="fixed"/>
      </w:tblPr>
      <w:tcPr>
        <w:shd w:val="clear" w:color="auto" w:fill="0B769F" w:themeFill="accent4" w:themeFillShade="BF"/>
      </w:tcPr>
    </w:tblStylePr>
    <w:tblStylePr w:type="lastCol">
      <w:rPr>
        <w:color w:val="FFFFFF" w:themeColor="background1"/>
        <w14:textFill>
          <w14:solidFill>
            <w14:schemeClr w14:val="bg1"/>
          </w14:solidFill>
        </w14:textFill>
      </w:rPr>
      <w:tblPr>
        <w:tblLayout w:type="fixed"/>
      </w:tblPr>
      <w:tcPr>
        <w:shd w:val="clear" w:color="auto" w:fill="0B769F" w:themeFill="accent4" w:themeFillShade="BF"/>
      </w:tcPr>
    </w:tblStylePr>
    <w:tblStylePr w:type="band1Vert">
      <w:tblPr>
        <w:tblLayout w:type="fixed"/>
      </w:tblPr>
      <w:tcPr>
        <w:shd w:val="clear" w:color="auto" w:fill="7BD3F5" w:themeFill="accent4" w:themeFillTint="7F"/>
      </w:tcPr>
    </w:tblStylePr>
    <w:tblStylePr w:type="band1Horz">
      <w:tblPr>
        <w:tblLayout w:type="fixed"/>
      </w:tblPr>
      <w:tcPr>
        <w:shd w:val="clear" w:color="auto" w:fill="7BD3F5" w:themeFill="accent4" w:themeFillTint="7F"/>
      </w:tcPr>
    </w:tblStylePr>
  </w:style>
  <w:style w:type="table" w:styleId="229">
    <w:name w:val="Colorful Grid Accent 5"/>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F1CEEE" w:themeFill="accent5" w:themeFillTint="33"/>
    </w:tcPr>
    <w:tblStylePr w:type="firstRow">
      <w:rPr>
        <w:b/>
        <w:bCs/>
      </w:rPr>
      <w:tblPr>
        <w:tblLayout w:type="fixed"/>
      </w:tblPr>
      <w:tcPr>
        <w:shd w:val="clear" w:color="auto" w:fill="E49EDD" w:themeFill="accent5" w:themeFillTint="66"/>
      </w:tcPr>
    </w:tblStylePr>
    <w:tblStylePr w:type="lastRow">
      <w:rPr>
        <w:b/>
        <w:bCs/>
        <w:color w:val="000000" w:themeColor="text1"/>
        <w14:textFill>
          <w14:solidFill>
            <w14:schemeClr w14:val="tx1"/>
          </w14:solidFill>
        </w14:textFill>
      </w:rPr>
      <w:tblPr>
        <w:tblLayout w:type="fixed"/>
      </w:tblPr>
      <w:tcPr>
        <w:shd w:val="clear" w:color="auto" w:fill="E49EDD" w:themeFill="accent5" w:themeFillTint="66"/>
      </w:tcPr>
    </w:tblStylePr>
    <w:tblStylePr w:type="firstCol">
      <w:rPr>
        <w:color w:val="FFFFFF" w:themeColor="background1"/>
        <w14:textFill>
          <w14:solidFill>
            <w14:schemeClr w14:val="bg1"/>
          </w14:solidFill>
        </w14:textFill>
      </w:rPr>
      <w:tblPr>
        <w:tblLayout w:type="fixed"/>
      </w:tblPr>
      <w:tcPr>
        <w:shd w:val="clear" w:color="auto" w:fill="77206E" w:themeFill="accent5" w:themeFillShade="BF"/>
      </w:tcPr>
    </w:tblStylePr>
    <w:tblStylePr w:type="lastCol">
      <w:rPr>
        <w:color w:val="FFFFFF" w:themeColor="background1"/>
        <w14:textFill>
          <w14:solidFill>
            <w14:schemeClr w14:val="bg1"/>
          </w14:solidFill>
        </w14:textFill>
      </w:rPr>
      <w:tblPr>
        <w:tblLayout w:type="fixed"/>
      </w:tblPr>
      <w:tcPr>
        <w:shd w:val="clear" w:color="auto" w:fill="77206E" w:themeFill="accent5" w:themeFillShade="BF"/>
      </w:tcPr>
    </w:tblStylePr>
    <w:tblStylePr w:type="band1Vert">
      <w:tblPr>
        <w:tblLayout w:type="fixed"/>
      </w:tblPr>
      <w:tcPr>
        <w:shd w:val="clear" w:color="auto" w:fill="DE86D4" w:themeFill="accent5" w:themeFillTint="7F"/>
      </w:tcPr>
    </w:tblStylePr>
    <w:tblStylePr w:type="band1Horz">
      <w:tblPr>
        <w:tblLayout w:type="fixed"/>
      </w:tblPr>
      <w:tcPr>
        <w:shd w:val="clear" w:color="auto" w:fill="DE86D4" w:themeFill="accent5" w:themeFillTint="7F"/>
      </w:tcPr>
    </w:tblStylePr>
  </w:style>
  <w:style w:type="table" w:styleId="230">
    <w:name w:val="Colorful Grid Accent 6"/>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D9F2D0" w:themeFill="accent6" w:themeFillTint="33"/>
    </w:tcPr>
    <w:tblStylePr w:type="firstRow">
      <w:rPr>
        <w:b/>
        <w:bCs/>
      </w:rPr>
      <w:tblPr>
        <w:tblLayout w:type="fixed"/>
      </w:tblPr>
      <w:tcPr>
        <w:shd w:val="clear" w:color="auto" w:fill="B3E5A1" w:themeFill="accent6" w:themeFillTint="66"/>
      </w:tcPr>
    </w:tblStylePr>
    <w:tblStylePr w:type="lastRow">
      <w:rPr>
        <w:b/>
        <w:bCs/>
        <w:color w:val="000000" w:themeColor="text1"/>
        <w14:textFill>
          <w14:solidFill>
            <w14:schemeClr w14:val="tx1"/>
          </w14:solidFill>
        </w14:textFill>
      </w:rPr>
      <w:tblPr>
        <w:tblLayout w:type="fixed"/>
      </w:tblPr>
      <w:tcPr>
        <w:shd w:val="clear" w:color="auto" w:fill="B3E5A1" w:themeFill="accent6" w:themeFillTint="66"/>
      </w:tcPr>
    </w:tblStylePr>
    <w:tblStylePr w:type="firstCol">
      <w:rPr>
        <w:color w:val="FFFFFF" w:themeColor="background1"/>
        <w14:textFill>
          <w14:solidFill>
            <w14:schemeClr w14:val="bg1"/>
          </w14:solidFill>
        </w14:textFill>
      </w:rPr>
      <w:tblPr>
        <w:tblLayout w:type="fixed"/>
      </w:tblPr>
      <w:tcPr>
        <w:shd w:val="clear" w:color="auto" w:fill="3A7D22" w:themeFill="accent6" w:themeFillShade="BF"/>
      </w:tcPr>
    </w:tblStylePr>
    <w:tblStylePr w:type="lastCol">
      <w:rPr>
        <w:color w:val="FFFFFF" w:themeColor="background1"/>
        <w14:textFill>
          <w14:solidFill>
            <w14:schemeClr w14:val="bg1"/>
          </w14:solidFill>
        </w14:textFill>
      </w:rPr>
      <w:tblPr>
        <w:tblLayout w:type="fixed"/>
      </w:tblPr>
      <w:tcPr>
        <w:shd w:val="clear" w:color="auto" w:fill="3A7D22" w:themeFill="accent6" w:themeFillShade="BF"/>
      </w:tcPr>
    </w:tblStylePr>
    <w:tblStylePr w:type="band1Vert">
      <w:tblPr>
        <w:tblLayout w:type="fixed"/>
      </w:tblPr>
      <w:tcPr>
        <w:shd w:val="clear" w:color="auto" w:fill="A1DF8B" w:themeFill="accent6" w:themeFillTint="7F"/>
      </w:tcPr>
    </w:tblStylePr>
    <w:tblStylePr w:type="band1Horz">
      <w:tblPr>
        <w:tblLayout w:type="fixed"/>
      </w:tblPr>
      <w:tcPr>
        <w:shd w:val="clear" w:color="auto" w:fill="A1DF8B"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unhideWhenUsed/>
    <w:qFormat/>
    <w:uiPriority w:val="99"/>
  </w:style>
  <w:style w:type="character" w:styleId="235">
    <w:name w:val="FollowedHyperlink"/>
    <w:basedOn w:val="231"/>
    <w:semiHidden/>
    <w:unhideWhenUsed/>
    <w:qFormat/>
    <w:uiPriority w:val="99"/>
    <w:rPr>
      <w:color w:val="96607D"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unhideWhenUsed/>
    <w:qFormat/>
    <w:uiPriority w:val="99"/>
    <w:rPr>
      <w:i/>
      <w:iCs/>
    </w:rPr>
  </w:style>
  <w:style w:type="character" w:styleId="239">
    <w:name w:val="HTML Typewriter"/>
    <w:basedOn w:val="231"/>
    <w:semiHidden/>
    <w:unhideWhenUsed/>
    <w:qFormat/>
    <w:uiPriority w:val="99"/>
    <w:rPr>
      <w:rFonts w:ascii="Courier New" w:hAnsi="Courier New" w:cs="Courier New"/>
      <w:sz w:val="20"/>
      <w:szCs w:val="20"/>
    </w:rPr>
  </w:style>
  <w:style w:type="character" w:styleId="240">
    <w:name w:val="HTML Acronym"/>
    <w:basedOn w:val="231"/>
    <w:semiHidden/>
    <w:unhideWhenUsed/>
    <w:qFormat/>
    <w:uiPriority w:val="99"/>
  </w:style>
  <w:style w:type="character" w:styleId="241">
    <w:name w:val="HTML Variable"/>
    <w:basedOn w:val="231"/>
    <w:semiHidden/>
    <w:unhideWhenUsed/>
    <w:qFormat/>
    <w:uiPriority w:val="99"/>
    <w:rPr>
      <w:i/>
      <w:iCs/>
    </w:rPr>
  </w:style>
  <w:style w:type="character" w:styleId="242">
    <w:name w:val="Hyperlink"/>
    <w:basedOn w:val="231"/>
    <w:unhideWhenUsed/>
    <w:qFormat/>
    <w:uiPriority w:val="99"/>
    <w:rPr>
      <w:color w:val="467886" w:themeColor="hyperlink"/>
      <w:u w:val="single"/>
      <w14:textFill>
        <w14:solidFill>
          <w14:schemeClr w14:val="hlink"/>
        </w14:solidFill>
      </w14:textFill>
    </w:rPr>
  </w:style>
  <w:style w:type="character" w:styleId="243">
    <w:name w:val="HTML Code"/>
    <w:basedOn w:val="231"/>
    <w:semiHidden/>
    <w:unhideWhenUsed/>
    <w:qFormat/>
    <w:uiPriority w:val="99"/>
    <w:rPr>
      <w:rFonts w:ascii="Courier New" w:hAnsi="Courier New" w:cs="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unhideWhenUsed/>
    <w:qFormat/>
    <w:uiPriority w:val="99"/>
    <w:rPr>
      <w:i/>
      <w:iCs/>
    </w:rPr>
  </w:style>
  <w:style w:type="character" w:styleId="246">
    <w:name w:val="footnote reference"/>
    <w:basedOn w:val="231"/>
    <w:semiHidden/>
    <w:unhideWhenUsed/>
    <w:qFormat/>
    <w:uiPriority w:val="99"/>
    <w:rPr>
      <w:vertAlign w:val="superscript"/>
    </w:rPr>
  </w:style>
  <w:style w:type="character" w:styleId="247">
    <w:name w:val="HTML Keyboard"/>
    <w:basedOn w:val="231"/>
    <w:semiHidden/>
    <w:unhideWhenUsed/>
    <w:qFormat/>
    <w:uiPriority w:val="99"/>
    <w:rPr>
      <w:rFonts w:ascii="Courier New" w:hAnsi="Courier New" w:cs="Courier New"/>
      <w:sz w:val="20"/>
      <w:szCs w:val="20"/>
    </w:rPr>
  </w:style>
  <w:style w:type="character" w:styleId="248">
    <w:name w:val="HTML Sample"/>
    <w:basedOn w:val="231"/>
    <w:semiHidden/>
    <w:unhideWhenUsed/>
    <w:qFormat/>
    <w:uiPriority w:val="99"/>
    <w:rPr>
      <w:rFonts w:ascii="Courier New" w:hAnsi="Courier New" w:cs="Courier New"/>
    </w:rPr>
  </w:style>
  <w:style w:type="character" w:customStyle="1" w:styleId="249">
    <w:name w:val="页眉 字符"/>
    <w:basedOn w:val="231"/>
    <w:link w:val="57"/>
    <w:qFormat/>
    <w:uiPriority w:val="99"/>
    <w:rPr>
      <w:sz w:val="18"/>
      <w:szCs w:val="18"/>
    </w:rPr>
  </w:style>
  <w:style w:type="character" w:customStyle="1" w:styleId="250">
    <w:name w:val="页脚 字符"/>
    <w:basedOn w:val="231"/>
    <w:link w:val="55"/>
    <w:uiPriority w:val="99"/>
    <w:rPr>
      <w:sz w:val="18"/>
      <w:szCs w:val="18"/>
    </w:rPr>
  </w:style>
  <w:style w:type="paragraph" w:styleId="251">
    <w:name w:val="List Paragraph"/>
    <w:basedOn w:val="1"/>
    <w:qFormat/>
    <w:uiPriority w:val="34"/>
    <w:pPr>
      <w:ind w:firstLine="420" w:firstLineChars="200"/>
    </w:pPr>
  </w:style>
  <w:style w:type="character" w:customStyle="1" w:styleId="252">
    <w:name w:val="font21"/>
    <w:basedOn w:val="231"/>
    <w:qFormat/>
    <w:uiPriority w:val="0"/>
    <w:rPr>
      <w:rFonts w:hint="eastAsia" w:ascii="宋体" w:hAnsi="宋体" w:eastAsia="宋体"/>
      <w:color w:val="000000"/>
      <w:sz w:val="21"/>
      <w:szCs w:val="21"/>
      <w:u w:val="none"/>
    </w:rPr>
  </w:style>
  <w:style w:type="character" w:customStyle="1" w:styleId="253">
    <w:name w:val="font11"/>
    <w:basedOn w:val="231"/>
    <w:uiPriority w:val="0"/>
    <w:rPr>
      <w:rFonts w:hint="default" w:ascii="Arial Narrow" w:hAnsi="Arial Narrow"/>
      <w:color w:val="000000"/>
      <w:sz w:val="21"/>
      <w:szCs w:val="21"/>
      <w:u w:val="none"/>
    </w:rPr>
  </w:style>
  <w:style w:type="character" w:customStyle="1" w:styleId="254">
    <w:name w:val="未处理的提及1"/>
    <w:basedOn w:val="231"/>
    <w:semiHidden/>
    <w:unhideWhenUsed/>
    <w:uiPriority w:val="99"/>
    <w:rPr>
      <w:color w:val="605E5C"/>
      <w:shd w:val="clear" w:color="auto" w:fill="E1DFDD"/>
    </w:rPr>
  </w:style>
  <w:style w:type="character" w:styleId="255">
    <w:name w:val="Placeholder Text"/>
    <w:basedOn w:val="231"/>
    <w:semiHidden/>
    <w:uiPriority w:val="99"/>
    <w:rPr>
      <w:color w:val="666666"/>
    </w:rPr>
  </w:style>
  <w:style w:type="character" w:customStyle="1" w:styleId="256">
    <w:name w:val="日期 字符"/>
    <w:basedOn w:val="231"/>
    <w:link w:val="50"/>
    <w:semiHidden/>
    <w:qFormat/>
    <w:uiPriority w:val="99"/>
  </w:style>
  <w:style w:type="character" w:customStyle="1" w:styleId="257">
    <w:name w:val="font41"/>
    <w:basedOn w:val="231"/>
    <w:qFormat/>
    <w:uiPriority w:val="0"/>
    <w:rPr>
      <w:rFonts w:hint="eastAsia" w:ascii="宋体" w:hAnsi="宋体" w:eastAsia="宋体"/>
      <w:b/>
      <w:bCs/>
      <w:color w:val="000000"/>
      <w:sz w:val="44"/>
      <w:szCs w:val="44"/>
      <w:u w:val="none"/>
    </w:rPr>
  </w:style>
  <w:style w:type="character" w:customStyle="1" w:styleId="258">
    <w:name w:val="font51"/>
    <w:basedOn w:val="231"/>
    <w:uiPriority w:val="0"/>
    <w:rPr>
      <w:rFonts w:hint="eastAsia" w:ascii="宋体" w:hAnsi="宋体" w:eastAsia="宋体"/>
      <w:b/>
      <w:bCs/>
      <w:color w:val="000000"/>
      <w:sz w:val="46"/>
      <w:szCs w:val="46"/>
      <w:u w:val="none"/>
    </w:rPr>
  </w:style>
  <w:style w:type="character" w:customStyle="1" w:styleId="259">
    <w:name w:val="font61"/>
    <w:basedOn w:val="231"/>
    <w:uiPriority w:val="0"/>
    <w:rPr>
      <w:rFonts w:hint="eastAsia" w:ascii="宋体" w:hAnsi="宋体" w:eastAsia="宋体"/>
      <w:color w:val="000000"/>
      <w:sz w:val="36"/>
      <w:szCs w:val="36"/>
      <w:u w:val="none"/>
    </w:rPr>
  </w:style>
  <w:style w:type="character" w:customStyle="1" w:styleId="260">
    <w:name w:val="标题 1 字符"/>
    <w:basedOn w:val="231"/>
    <w:link w:val="3"/>
    <w:uiPriority w:val="9"/>
    <w:rPr>
      <w:rFonts w:asciiTheme="minorHAnsi" w:hAnsiTheme="minorHAnsi" w:eastAsiaTheme="minorEastAsia" w:cstheme="minorBidi"/>
      <w:b/>
      <w:bCs/>
      <w:kern w:val="44"/>
      <w:sz w:val="44"/>
      <w:szCs w:val="44"/>
      <w14:ligatures w14:val="standardContextual"/>
    </w:rPr>
  </w:style>
  <w:style w:type="paragraph" w:customStyle="1" w:styleId="261">
    <w:name w:val="TOC 标题1"/>
    <w:basedOn w:val="3"/>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104862" w:themeColor="accent1" w:themeShade="BF"/>
      <w:kern w:val="0"/>
      <w:sz w:val="32"/>
      <w:szCs w:val="32"/>
      <w14:ligatures w14:val="none"/>
    </w:rPr>
  </w:style>
  <w:style w:type="character" w:customStyle="1" w:styleId="262">
    <w:name w:val="批注框文本 字符"/>
    <w:basedOn w:val="231"/>
    <w:link w:val="54"/>
    <w:semiHidden/>
    <w:qFormat/>
    <w:uiPriority w:val="99"/>
    <w:rPr>
      <w:rFonts w:asciiTheme="minorHAnsi" w:hAnsiTheme="minorHAnsi" w:eastAsiaTheme="minorEastAsia" w:cstheme="minorBidi"/>
      <w:kern w:val="2"/>
      <w:sz w:val="18"/>
      <w:szCs w:val="18"/>
      <w14:ligatures w14:val="standardContextual"/>
    </w:rPr>
  </w:style>
  <w:style w:type="character" w:customStyle="1" w:styleId="263">
    <w:name w:val="批注文字 字符"/>
    <w:basedOn w:val="231"/>
    <w:link w:val="28"/>
    <w:semiHidden/>
    <w:qFormat/>
    <w:uiPriority w:val="99"/>
    <w:rPr>
      <w:rFonts w:asciiTheme="minorHAnsi" w:hAnsiTheme="minorHAnsi" w:eastAsiaTheme="minorEastAsia" w:cstheme="minorBidi"/>
      <w:kern w:val="2"/>
      <w:sz w:val="22"/>
      <w:szCs w:val="24"/>
      <w14:ligatures w14:val="standardContextual"/>
    </w:rPr>
  </w:style>
  <w:style w:type="character" w:customStyle="1" w:styleId="264">
    <w:name w:val="批注主题 字符"/>
    <w:basedOn w:val="263"/>
    <w:link w:val="85"/>
    <w:semiHidden/>
    <w:uiPriority w:val="99"/>
    <w:rPr>
      <w:rFonts w:asciiTheme="minorHAnsi" w:hAnsiTheme="minorHAnsi" w:eastAsiaTheme="minorEastAsia" w:cstheme="minorBidi"/>
      <w:b/>
      <w:bCs/>
      <w:kern w:val="2"/>
      <w:sz w:val="22"/>
      <w:szCs w:val="24"/>
      <w14:ligatures w14:val="standardContextual"/>
    </w:rPr>
  </w:style>
  <w:style w:type="character" w:customStyle="1" w:styleId="265">
    <w:name w:val="@他1"/>
    <w:basedOn w:val="231"/>
    <w:semiHidden/>
    <w:unhideWhenUsed/>
    <w:uiPriority w:val="99"/>
    <w:rPr>
      <w:color w:val="2B579A"/>
      <w:shd w:val="clear" w:color="auto" w:fill="E1DFDD"/>
    </w:rPr>
  </w:style>
  <w:style w:type="character" w:customStyle="1" w:styleId="266">
    <w:name w:val="HTML 地址 字符"/>
    <w:basedOn w:val="231"/>
    <w:link w:val="41"/>
    <w:semiHidden/>
    <w:uiPriority w:val="99"/>
    <w:rPr>
      <w:rFonts w:asciiTheme="minorHAnsi" w:hAnsiTheme="minorHAnsi" w:eastAsiaTheme="minorEastAsia" w:cstheme="minorBidi"/>
      <w:i/>
      <w:iCs/>
      <w:kern w:val="2"/>
      <w:sz w:val="22"/>
      <w:szCs w:val="24"/>
      <w14:ligatures w14:val="standardContextual"/>
    </w:rPr>
  </w:style>
  <w:style w:type="character" w:customStyle="1" w:styleId="267">
    <w:name w:val="HTML 预设格式 字符"/>
    <w:basedOn w:val="231"/>
    <w:link w:val="80"/>
    <w:semiHidden/>
    <w:qFormat/>
    <w:uiPriority w:val="99"/>
    <w:rPr>
      <w:rFonts w:ascii="Courier New" w:hAnsi="Courier New" w:cs="Courier New" w:eastAsiaTheme="minorEastAsia"/>
      <w:kern w:val="2"/>
      <w14:ligatures w14:val="standardContextual"/>
    </w:rPr>
  </w:style>
  <w:style w:type="paragraph" w:customStyle="1" w:styleId="268">
    <w:name w:val="TOC 标题2"/>
    <w:basedOn w:val="3"/>
    <w:next w:val="1"/>
    <w:semiHidden/>
    <w:unhideWhenUsed/>
    <w:qFormat/>
    <w:uiPriority w:val="39"/>
    <w:pPr>
      <w:outlineLvl w:val="9"/>
    </w:pPr>
  </w:style>
  <w:style w:type="character" w:customStyle="1" w:styleId="269">
    <w:name w:val="标题 字符"/>
    <w:basedOn w:val="231"/>
    <w:link w:val="84"/>
    <w:qFormat/>
    <w:uiPriority w:val="10"/>
    <w:rPr>
      <w:rFonts w:asciiTheme="majorHAnsi" w:hAnsiTheme="majorHAnsi" w:eastAsiaTheme="majorEastAsia" w:cstheme="majorBidi"/>
      <w:b/>
      <w:bCs/>
      <w:kern w:val="2"/>
      <w:sz w:val="32"/>
      <w:szCs w:val="32"/>
      <w14:ligatures w14:val="standardContextual"/>
    </w:rPr>
  </w:style>
  <w:style w:type="character" w:customStyle="1" w:styleId="270">
    <w:name w:val="标题 2 字符"/>
    <w:basedOn w:val="231"/>
    <w:link w:val="4"/>
    <w:semiHidden/>
    <w:qFormat/>
    <w:uiPriority w:val="9"/>
    <w:rPr>
      <w:rFonts w:asciiTheme="majorHAnsi" w:hAnsiTheme="majorHAnsi" w:eastAsiaTheme="majorEastAsia" w:cstheme="majorBidi"/>
      <w:b/>
      <w:bCs/>
      <w:kern w:val="2"/>
      <w:sz w:val="32"/>
      <w:szCs w:val="32"/>
      <w14:ligatures w14:val="standardContextual"/>
    </w:rPr>
  </w:style>
  <w:style w:type="character" w:customStyle="1" w:styleId="271">
    <w:name w:val="标题 3 字符"/>
    <w:basedOn w:val="231"/>
    <w:link w:val="5"/>
    <w:semiHidden/>
    <w:qFormat/>
    <w:uiPriority w:val="9"/>
    <w:rPr>
      <w:rFonts w:asciiTheme="minorHAnsi" w:hAnsiTheme="minorHAnsi" w:eastAsiaTheme="minorEastAsia" w:cstheme="minorBidi"/>
      <w:b/>
      <w:bCs/>
      <w:kern w:val="2"/>
      <w:sz w:val="32"/>
      <w:szCs w:val="32"/>
      <w14:ligatures w14:val="standardContextual"/>
    </w:rPr>
  </w:style>
  <w:style w:type="character" w:customStyle="1" w:styleId="272">
    <w:name w:val="标题 4 字符"/>
    <w:basedOn w:val="231"/>
    <w:link w:val="6"/>
    <w:semiHidden/>
    <w:qFormat/>
    <w:uiPriority w:val="9"/>
    <w:rPr>
      <w:rFonts w:asciiTheme="majorHAnsi" w:hAnsiTheme="majorHAnsi" w:eastAsiaTheme="majorEastAsia" w:cstheme="majorBidi"/>
      <w:b/>
      <w:bCs/>
      <w:kern w:val="2"/>
      <w:sz w:val="28"/>
      <w:szCs w:val="28"/>
      <w14:ligatures w14:val="standardContextual"/>
    </w:rPr>
  </w:style>
  <w:style w:type="character" w:customStyle="1" w:styleId="273">
    <w:name w:val="标题 5 字符"/>
    <w:basedOn w:val="231"/>
    <w:link w:val="7"/>
    <w:semiHidden/>
    <w:uiPriority w:val="9"/>
    <w:rPr>
      <w:rFonts w:asciiTheme="minorHAnsi" w:hAnsiTheme="minorHAnsi" w:eastAsiaTheme="minorEastAsia" w:cstheme="minorBidi"/>
      <w:b/>
      <w:bCs/>
      <w:kern w:val="2"/>
      <w:sz w:val="28"/>
      <w:szCs w:val="28"/>
      <w14:ligatures w14:val="standardContextual"/>
    </w:rPr>
  </w:style>
  <w:style w:type="character" w:customStyle="1" w:styleId="274">
    <w:name w:val="标题 6 字符"/>
    <w:basedOn w:val="231"/>
    <w:link w:val="8"/>
    <w:semiHidden/>
    <w:uiPriority w:val="9"/>
    <w:rPr>
      <w:rFonts w:asciiTheme="majorHAnsi" w:hAnsiTheme="majorHAnsi" w:eastAsiaTheme="majorEastAsia" w:cstheme="majorBidi"/>
      <w:b/>
      <w:bCs/>
      <w:kern w:val="2"/>
      <w:sz w:val="24"/>
      <w:szCs w:val="24"/>
      <w14:ligatures w14:val="standardContextual"/>
    </w:rPr>
  </w:style>
  <w:style w:type="character" w:customStyle="1" w:styleId="275">
    <w:name w:val="标题 7 字符"/>
    <w:basedOn w:val="231"/>
    <w:link w:val="9"/>
    <w:semiHidden/>
    <w:qFormat/>
    <w:uiPriority w:val="9"/>
    <w:rPr>
      <w:rFonts w:asciiTheme="minorHAnsi" w:hAnsiTheme="minorHAnsi" w:eastAsiaTheme="minorEastAsia" w:cstheme="minorBidi"/>
      <w:b/>
      <w:bCs/>
      <w:kern w:val="2"/>
      <w:sz w:val="24"/>
      <w:szCs w:val="24"/>
      <w14:ligatures w14:val="standardContextual"/>
    </w:rPr>
  </w:style>
  <w:style w:type="character" w:customStyle="1" w:styleId="276">
    <w:name w:val="标题 8 字符"/>
    <w:basedOn w:val="231"/>
    <w:link w:val="10"/>
    <w:semiHidden/>
    <w:qFormat/>
    <w:uiPriority w:val="9"/>
    <w:rPr>
      <w:rFonts w:asciiTheme="majorHAnsi" w:hAnsiTheme="majorHAnsi" w:eastAsiaTheme="majorEastAsia" w:cstheme="majorBidi"/>
      <w:kern w:val="2"/>
      <w:sz w:val="24"/>
      <w:szCs w:val="24"/>
      <w14:ligatures w14:val="standardContextual"/>
    </w:rPr>
  </w:style>
  <w:style w:type="character" w:customStyle="1" w:styleId="277">
    <w:name w:val="标题 9 字符"/>
    <w:basedOn w:val="231"/>
    <w:link w:val="11"/>
    <w:semiHidden/>
    <w:qFormat/>
    <w:uiPriority w:val="9"/>
    <w:rPr>
      <w:rFonts w:asciiTheme="majorHAnsi" w:hAnsiTheme="majorHAnsi" w:eastAsiaTheme="majorEastAsia" w:cstheme="majorBidi"/>
      <w:kern w:val="2"/>
      <w:sz w:val="21"/>
      <w:szCs w:val="21"/>
      <w14:ligatures w14:val="standardContextual"/>
    </w:rPr>
  </w:style>
  <w:style w:type="character" w:customStyle="1" w:styleId="278">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79">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280">
    <w:name w:val="称呼 字符"/>
    <w:basedOn w:val="231"/>
    <w:link w:val="30"/>
    <w:semiHidden/>
    <w:uiPriority w:val="99"/>
    <w:rPr>
      <w:rFonts w:asciiTheme="minorHAnsi" w:hAnsiTheme="minorHAnsi" w:eastAsiaTheme="minorEastAsia" w:cstheme="minorBidi"/>
      <w:kern w:val="2"/>
      <w:sz w:val="22"/>
      <w:szCs w:val="24"/>
      <w14:ligatures w14:val="standardContextual"/>
    </w:rPr>
  </w:style>
  <w:style w:type="character" w:customStyle="1" w:styleId="281">
    <w:name w:val="纯文本 字符"/>
    <w:basedOn w:val="231"/>
    <w:link w:val="45"/>
    <w:semiHidden/>
    <w:uiPriority w:val="99"/>
    <w:rPr>
      <w:rFonts w:hAnsi="Courier New" w:cs="Courier New" w:asciiTheme="minorEastAsia" w:eastAsiaTheme="minorEastAsia"/>
      <w:kern w:val="2"/>
      <w:sz w:val="22"/>
      <w:szCs w:val="24"/>
      <w14:ligatures w14:val="standardContextual"/>
    </w:rPr>
  </w:style>
  <w:style w:type="character" w:customStyle="1" w:styleId="282">
    <w:name w:val="电子邮件签名 字符"/>
    <w:basedOn w:val="231"/>
    <w:link w:val="19"/>
    <w:semiHidden/>
    <w:uiPriority w:val="99"/>
    <w:rPr>
      <w:rFonts w:asciiTheme="minorHAnsi" w:hAnsiTheme="minorHAnsi" w:eastAsiaTheme="minorEastAsia" w:cstheme="minorBidi"/>
      <w:kern w:val="2"/>
      <w:sz w:val="22"/>
      <w:szCs w:val="24"/>
      <w14:ligatures w14:val="standardContextual"/>
    </w:rPr>
  </w:style>
  <w:style w:type="character" w:customStyle="1" w:styleId="283">
    <w:name w:val="副标题 字符"/>
    <w:basedOn w:val="231"/>
    <w:link w:val="64"/>
    <w:uiPriority w:val="11"/>
    <w:rPr>
      <w:rFonts w:asciiTheme="minorHAnsi" w:hAnsiTheme="minorHAnsi" w:eastAsiaTheme="minorEastAsia" w:cstheme="minorBidi"/>
      <w:b/>
      <w:bCs/>
      <w:kern w:val="28"/>
      <w:sz w:val="32"/>
      <w:szCs w:val="32"/>
      <w14:ligatures w14:val="standardContextual"/>
    </w:rPr>
  </w:style>
  <w:style w:type="character" w:customStyle="1" w:styleId="284">
    <w:name w:val="宏文本 字符"/>
    <w:basedOn w:val="231"/>
    <w:link w:val="2"/>
    <w:semiHidden/>
    <w:uiPriority w:val="99"/>
    <w:rPr>
      <w:rFonts w:ascii="Courier New" w:hAnsi="Courier New" w:cs="Courier New"/>
      <w:kern w:val="2"/>
      <w:sz w:val="24"/>
      <w:szCs w:val="24"/>
      <w14:ligatures w14:val="standardContextual"/>
    </w:rPr>
  </w:style>
  <w:style w:type="character" w:customStyle="1" w:styleId="285">
    <w:name w:val="脚注文本 字符"/>
    <w:basedOn w:val="231"/>
    <w:link w:val="67"/>
    <w:semiHidden/>
    <w:uiPriority w:val="99"/>
    <w:rPr>
      <w:rFonts w:asciiTheme="minorHAnsi" w:hAnsiTheme="minorHAnsi" w:eastAsiaTheme="minorEastAsia" w:cstheme="minorBidi"/>
      <w:kern w:val="2"/>
      <w:sz w:val="18"/>
      <w:szCs w:val="18"/>
      <w14:ligatures w14:val="standardContextual"/>
    </w:rPr>
  </w:style>
  <w:style w:type="character" w:customStyle="1" w:styleId="286">
    <w:name w:val="结束语 字符"/>
    <w:basedOn w:val="231"/>
    <w:link w:val="32"/>
    <w:semiHidden/>
    <w:uiPriority w:val="99"/>
    <w:rPr>
      <w:rFonts w:asciiTheme="minorHAnsi" w:hAnsiTheme="minorHAnsi" w:eastAsiaTheme="minorEastAsia" w:cstheme="minorBidi"/>
      <w:kern w:val="2"/>
      <w:sz w:val="22"/>
      <w:szCs w:val="24"/>
      <w14:ligatures w14:val="standardContextual"/>
    </w:rPr>
  </w:style>
  <w:style w:type="character" w:customStyle="1" w:styleId="287">
    <w:name w:val="井号标签1"/>
    <w:basedOn w:val="231"/>
    <w:semiHidden/>
    <w:unhideWhenUsed/>
    <w:uiPriority w:val="99"/>
    <w:rPr>
      <w:color w:val="2B579A"/>
      <w:shd w:val="clear" w:color="auto" w:fill="E1DFDD"/>
    </w:rPr>
  </w:style>
  <w:style w:type="character" w:customStyle="1" w:styleId="288">
    <w:name w:val="明显参考1"/>
    <w:basedOn w:val="231"/>
    <w:qFormat/>
    <w:uiPriority w:val="32"/>
    <w:rPr>
      <w:b/>
      <w:bCs/>
      <w:smallCaps/>
      <w:color w:val="156082" w:themeColor="accent1"/>
      <w:spacing w:val="5"/>
      <w14:textFill>
        <w14:solidFill>
          <w14:schemeClr w14:val="accent1"/>
        </w14:solidFill>
      </w14:textFill>
    </w:rPr>
  </w:style>
  <w:style w:type="character" w:customStyle="1" w:styleId="289">
    <w:name w:val="明显强调1"/>
    <w:basedOn w:val="231"/>
    <w:qFormat/>
    <w:uiPriority w:val="21"/>
    <w:rPr>
      <w:i/>
      <w:iCs/>
      <w:color w:val="156082" w:themeColor="accent1"/>
      <w14:textFill>
        <w14:solidFill>
          <w14:schemeClr w14:val="accent1"/>
        </w14:solidFill>
      </w14:textFill>
    </w:rPr>
  </w:style>
  <w:style w:type="paragraph" w:styleId="290">
    <w:name w:val="Intense Quote"/>
    <w:basedOn w:val="1"/>
    <w:next w:val="1"/>
    <w:link w:val="291"/>
    <w:semiHidden/>
    <w:unhideWhenUsed/>
    <w:qFormat/>
    <w:uiPriority w:val="99"/>
    <w:pPr>
      <w:pBdr>
        <w:top w:val="single" w:color="156082" w:themeColor="accent1" w:sz="4" w:space="10"/>
        <w:bottom w:val="single" w:color="156082" w:themeColor="accent1" w:sz="4" w:space="10"/>
      </w:pBdr>
      <w:spacing w:before="360" w:after="360"/>
      <w:ind w:left="864" w:right="864"/>
      <w:jc w:val="center"/>
    </w:pPr>
    <w:rPr>
      <w:i/>
      <w:iCs/>
      <w:color w:val="156082" w:themeColor="accent1"/>
      <w14:textFill>
        <w14:solidFill>
          <w14:schemeClr w14:val="accent1"/>
        </w14:solidFill>
      </w14:textFill>
    </w:rPr>
  </w:style>
  <w:style w:type="character" w:customStyle="1" w:styleId="291">
    <w:name w:val="明显引用 字符"/>
    <w:basedOn w:val="231"/>
    <w:link w:val="290"/>
    <w:semiHidden/>
    <w:uiPriority w:val="99"/>
    <w:rPr>
      <w:rFonts w:asciiTheme="minorHAnsi" w:hAnsiTheme="minorHAnsi" w:eastAsiaTheme="minorEastAsia" w:cstheme="minorBidi"/>
      <w:i/>
      <w:iCs/>
      <w:color w:val="156082" w:themeColor="accent1"/>
      <w:kern w:val="2"/>
      <w:sz w:val="22"/>
      <w:szCs w:val="24"/>
      <w14:textFill>
        <w14:solidFill>
          <w14:schemeClr w14:val="accent1"/>
        </w14:solidFill>
      </w14:textFill>
      <w14:ligatures w14:val="standardContextual"/>
    </w:rPr>
  </w:style>
  <w:style w:type="character" w:customStyle="1" w:styleId="292">
    <w:name w:val="签名 字符"/>
    <w:basedOn w:val="231"/>
    <w:link w:val="58"/>
    <w:semiHidden/>
    <w:uiPriority w:val="99"/>
    <w:rPr>
      <w:rFonts w:asciiTheme="minorHAnsi" w:hAnsiTheme="minorHAnsi" w:eastAsiaTheme="minorEastAsia" w:cstheme="minorBidi"/>
      <w:kern w:val="2"/>
      <w:sz w:val="22"/>
      <w:szCs w:val="24"/>
      <w14:ligatures w14:val="standardContextual"/>
    </w:rPr>
  </w:style>
  <w:style w:type="table" w:customStyle="1" w:styleId="293">
    <w:name w:val="清单表 1 浅色1"/>
    <w:basedOn w:val="88"/>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4">
    <w:name w:val="清单表 1 浅色 - 着色 11"/>
    <w:basedOn w:val="88"/>
    <w:uiPriority w:val="46"/>
    <w:tblStylePr w:type="firstRow">
      <w:rPr>
        <w:b/>
        <w:bCs/>
      </w:rPr>
      <w:tcPr>
        <w:tcBorders>
          <w:bottom w:val="single" w:color="45B0E1" w:themeColor="accent1" w:themeTint="99" w:sz="4" w:space="0"/>
        </w:tcBorders>
      </w:tcPr>
    </w:tblStylePr>
    <w:tblStylePr w:type="lastRow">
      <w:rPr>
        <w:b/>
        <w:bCs/>
      </w:rPr>
      <w:tcPr>
        <w:tcBorders>
          <w:top w:val="single" w:color="45B0E1" w:themeColor="accent1" w:themeTint="99"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295">
    <w:name w:val="清单表 1 浅色 - 着色 21"/>
    <w:basedOn w:val="88"/>
    <w:uiPriority w:val="46"/>
    <w:tblStylePr w:type="firstRow">
      <w:rPr>
        <w:b/>
        <w:bCs/>
      </w:rPr>
      <w:tcPr>
        <w:tcBorders>
          <w:bottom w:val="single" w:color="F1A983" w:themeColor="accent2" w:themeTint="99" w:sz="4" w:space="0"/>
        </w:tcBorders>
      </w:tcPr>
    </w:tblStylePr>
    <w:tblStylePr w:type="lastRow">
      <w:rPr>
        <w:b/>
        <w:bCs/>
      </w:rPr>
      <w:tcPr>
        <w:tcBorders>
          <w:top w:val="single" w:color="F1A983" w:themeColor="accent2" w:themeTint="99"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296">
    <w:name w:val="清单表 1 浅色 - 着色 31"/>
    <w:basedOn w:val="88"/>
    <w:uiPriority w:val="46"/>
    <w:tblStylePr w:type="firstRow">
      <w:rPr>
        <w:b/>
        <w:bCs/>
      </w:rPr>
      <w:tcPr>
        <w:tcBorders>
          <w:bottom w:val="single" w:color="47D45A" w:themeColor="accent3" w:themeTint="99" w:sz="4" w:space="0"/>
        </w:tcBorders>
      </w:tcPr>
    </w:tblStylePr>
    <w:tblStylePr w:type="lastRow">
      <w:rPr>
        <w:b/>
        <w:bCs/>
      </w:rPr>
      <w:tcPr>
        <w:tcBorders>
          <w:top w:val="single" w:color="47D45A" w:themeColor="accent3" w:themeTint="99"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297">
    <w:name w:val="清单表 1 浅色 - 着色 41"/>
    <w:basedOn w:val="88"/>
    <w:uiPriority w:val="46"/>
    <w:tblStylePr w:type="firstRow">
      <w:rPr>
        <w:b/>
        <w:bCs/>
      </w:rPr>
      <w:tcPr>
        <w:tcBorders>
          <w:bottom w:val="single" w:color="60CBF3" w:themeColor="accent4" w:themeTint="99" w:sz="4" w:space="0"/>
        </w:tcBorders>
      </w:tcPr>
    </w:tblStylePr>
    <w:tblStylePr w:type="lastRow">
      <w:rPr>
        <w:b/>
        <w:bCs/>
      </w:rPr>
      <w:tcPr>
        <w:tcBorders>
          <w:top w:val="single" w:color="60CBF3" w:themeColor="accent4" w:themeTint="99"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298">
    <w:name w:val="清单表 1 浅色 - 着色 51"/>
    <w:basedOn w:val="88"/>
    <w:uiPriority w:val="46"/>
    <w:tblStylePr w:type="firstRow">
      <w:rPr>
        <w:b/>
        <w:bCs/>
      </w:rPr>
      <w:tcPr>
        <w:tcBorders>
          <w:bottom w:val="single" w:color="D76DCC" w:themeColor="accent5" w:themeTint="99" w:sz="4" w:space="0"/>
        </w:tcBorders>
      </w:tcPr>
    </w:tblStylePr>
    <w:tblStylePr w:type="lastRow">
      <w:rPr>
        <w:b/>
        <w:bCs/>
      </w:rPr>
      <w:tcPr>
        <w:tcBorders>
          <w:top w:val="single" w:color="D76DCC" w:themeColor="accent5" w:themeTint="99"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299">
    <w:name w:val="清单表 1 浅色 - 着色 61"/>
    <w:basedOn w:val="88"/>
    <w:uiPriority w:val="46"/>
    <w:tblStylePr w:type="firstRow">
      <w:rPr>
        <w:b/>
        <w:bCs/>
      </w:rPr>
      <w:tcPr>
        <w:tcBorders>
          <w:bottom w:val="single" w:color="8ED873" w:themeColor="accent6" w:themeTint="99" w:sz="4" w:space="0"/>
        </w:tcBorders>
      </w:tcPr>
    </w:tblStylePr>
    <w:tblStylePr w:type="lastRow">
      <w:rPr>
        <w:b/>
        <w:bCs/>
      </w:rPr>
      <w:tcPr>
        <w:tcBorders>
          <w:top w:val="single" w:color="8ED873" w:themeColor="accent6" w:themeTint="99"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00">
    <w:name w:val="清单表 21"/>
    <w:basedOn w:val="88"/>
    <w:uiPriority w:val="47"/>
    <w:tblPr>
      <w:tblBorders>
        <w:top w:val="single" w:color="666666" w:themeColor="text1" w:themeTint="99" w:sz="4" w:space="0"/>
        <w:bottom w:val="single" w:color="666666" w:themeColor="text1" w:themeTint="99" w:sz="4" w:space="0"/>
        <w:insideH w:val="single" w:color="666666" w:themeColor="text1"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1">
    <w:name w:val="清单表 2 - 着色 11"/>
    <w:basedOn w:val="88"/>
    <w:uiPriority w:val="47"/>
    <w:tblPr>
      <w:tblBorders>
        <w:top w:val="single" w:color="45B0E1" w:themeColor="accent1" w:themeTint="99" w:sz="4" w:space="0"/>
        <w:bottom w:val="single" w:color="45B0E1" w:themeColor="accent1" w:themeTint="99" w:sz="4" w:space="0"/>
        <w:insideH w:val="single" w:color="45B0E1" w:themeColor="accent1"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02">
    <w:name w:val="清单表 2 - 着色 21"/>
    <w:basedOn w:val="88"/>
    <w:uiPriority w:val="47"/>
    <w:tblPr>
      <w:tblBorders>
        <w:top w:val="single" w:color="F1A983" w:themeColor="accent2" w:themeTint="99" w:sz="4" w:space="0"/>
        <w:bottom w:val="single" w:color="F1A983" w:themeColor="accent2" w:themeTint="99" w:sz="4" w:space="0"/>
        <w:insideH w:val="single" w:color="F1A983" w:themeColor="accent2"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03">
    <w:name w:val="清单表 2 - 着色 31"/>
    <w:basedOn w:val="88"/>
    <w:uiPriority w:val="47"/>
    <w:tblPr>
      <w:tblBorders>
        <w:top w:val="single" w:color="47D45A" w:themeColor="accent3" w:themeTint="99" w:sz="4" w:space="0"/>
        <w:bottom w:val="single" w:color="47D45A" w:themeColor="accent3" w:themeTint="99" w:sz="4" w:space="0"/>
        <w:insideH w:val="single" w:color="47D45A" w:themeColor="accent3"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04">
    <w:name w:val="清单表 2 - 着色 41"/>
    <w:basedOn w:val="88"/>
    <w:uiPriority w:val="47"/>
    <w:tblPr>
      <w:tblBorders>
        <w:top w:val="single" w:color="60CBF3" w:themeColor="accent4" w:themeTint="99" w:sz="4" w:space="0"/>
        <w:bottom w:val="single" w:color="60CBF3" w:themeColor="accent4" w:themeTint="99" w:sz="4" w:space="0"/>
        <w:insideH w:val="single" w:color="60CBF3" w:themeColor="accent4"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05">
    <w:name w:val="清单表 2 - 着色 51"/>
    <w:basedOn w:val="88"/>
    <w:uiPriority w:val="47"/>
    <w:tblPr>
      <w:tblBorders>
        <w:top w:val="single" w:color="D76DCC" w:themeColor="accent5" w:themeTint="99" w:sz="4" w:space="0"/>
        <w:bottom w:val="single" w:color="D76DCC" w:themeColor="accent5" w:themeTint="99" w:sz="4" w:space="0"/>
        <w:insideH w:val="single" w:color="D76DCC" w:themeColor="accent5"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06">
    <w:name w:val="清单表 2 - 着色 61"/>
    <w:basedOn w:val="88"/>
    <w:uiPriority w:val="47"/>
    <w:tblPr>
      <w:tblBorders>
        <w:top w:val="single" w:color="8ED873" w:themeColor="accent6" w:themeTint="99" w:sz="4" w:space="0"/>
        <w:bottom w:val="single" w:color="8ED873" w:themeColor="accent6" w:themeTint="99" w:sz="4" w:space="0"/>
        <w:insideH w:val="single" w:color="8ED873" w:themeColor="accent6"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07">
    <w:name w:val="清单表 31"/>
    <w:basedOn w:val="88"/>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08">
    <w:name w:val="清单表 3 - 着色 11"/>
    <w:basedOn w:val="88"/>
    <w:uiPriority w:val="48"/>
    <w:tblPr>
      <w:tblBorders>
        <w:top w:val="single" w:color="156082" w:themeColor="accent1" w:sz="4" w:space="0"/>
        <w:left w:val="single" w:color="156082" w:themeColor="accent1" w:sz="4" w:space="0"/>
        <w:bottom w:val="single" w:color="156082" w:themeColor="accent1" w:sz="4" w:space="0"/>
        <w:right w:val="single" w:color="156082" w:themeColor="accent1" w:sz="4" w:space="0"/>
      </w:tblBorders>
      <w:tblLayout w:type="fixed"/>
    </w:tblPr>
    <w:tblStylePr w:type="firstRow">
      <w:rPr>
        <w:b/>
        <w:bCs/>
        <w:color w:val="FFFFFF" w:themeColor="background1"/>
        <w14:textFill>
          <w14:solidFill>
            <w14:schemeClr w14:val="bg1"/>
          </w14:solidFill>
        </w14:textFill>
      </w:rPr>
      <w:tcPr>
        <w:shd w:val="clear" w:color="auto" w:fill="156082" w:themeFill="accent1"/>
      </w:tcPr>
    </w:tblStylePr>
    <w:tblStylePr w:type="lastRow">
      <w:rPr>
        <w:b/>
        <w:bCs/>
      </w:rPr>
      <w:tcPr>
        <w:tcBorders>
          <w:top w:val="double" w:color="156082"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156082" w:themeColor="accent1" w:sz="4" w:space="0"/>
          <w:right w:val="single" w:color="156082" w:themeColor="accent1" w:sz="4" w:space="0"/>
        </w:tcBorders>
      </w:tcPr>
    </w:tblStylePr>
    <w:tblStylePr w:type="band1Horz">
      <w:tcPr>
        <w:tcBorders>
          <w:top w:val="single" w:color="156082" w:themeColor="accent1" w:sz="4" w:space="0"/>
          <w:bottom w:val="single" w:color="156082"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156082" w:themeColor="accent1" w:sz="4" w:space="0"/>
          <w:left w:val="nil"/>
        </w:tcBorders>
      </w:tcPr>
    </w:tblStylePr>
    <w:tblStylePr w:type="swCell">
      <w:tcPr>
        <w:tcBorders>
          <w:top w:val="double" w:color="156082" w:themeColor="accent1" w:sz="4" w:space="0"/>
          <w:right w:val="nil"/>
        </w:tcBorders>
      </w:tcPr>
    </w:tblStylePr>
  </w:style>
  <w:style w:type="table" w:customStyle="1" w:styleId="309">
    <w:name w:val="清单表 3 - 着色 21"/>
    <w:basedOn w:val="88"/>
    <w:uiPriority w:val="48"/>
    <w:tblPr>
      <w:tblBorders>
        <w:top w:val="single" w:color="E97132" w:themeColor="accent2" w:sz="4" w:space="0"/>
        <w:left w:val="single" w:color="E97132" w:themeColor="accent2" w:sz="4" w:space="0"/>
        <w:bottom w:val="single" w:color="E97132" w:themeColor="accent2" w:sz="4" w:space="0"/>
        <w:right w:val="single" w:color="E97132" w:themeColor="accent2" w:sz="4" w:space="0"/>
      </w:tblBorders>
      <w:tblLayout w:type="fixed"/>
    </w:tblPr>
    <w:tblStylePr w:type="firstRow">
      <w:rPr>
        <w:b/>
        <w:bCs/>
        <w:color w:val="FFFFFF" w:themeColor="background1"/>
        <w14:textFill>
          <w14:solidFill>
            <w14:schemeClr w14:val="bg1"/>
          </w14:solidFill>
        </w14:textFill>
      </w:rPr>
      <w:tcPr>
        <w:shd w:val="clear" w:color="auto" w:fill="E97132" w:themeFill="accent2"/>
      </w:tcPr>
    </w:tblStylePr>
    <w:tblStylePr w:type="lastRow">
      <w:rPr>
        <w:b/>
        <w:bCs/>
      </w:rPr>
      <w:tcPr>
        <w:tcBorders>
          <w:top w:val="double" w:color="E97132"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97132" w:themeColor="accent2" w:sz="4" w:space="0"/>
          <w:right w:val="single" w:color="E97132" w:themeColor="accent2" w:sz="4" w:space="0"/>
        </w:tcBorders>
      </w:tcPr>
    </w:tblStylePr>
    <w:tblStylePr w:type="band1Horz">
      <w:tcPr>
        <w:tcBorders>
          <w:top w:val="single" w:color="E97132" w:themeColor="accent2" w:sz="4" w:space="0"/>
          <w:bottom w:val="single" w:color="E97132"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97132" w:themeColor="accent2" w:sz="4" w:space="0"/>
          <w:left w:val="nil"/>
        </w:tcBorders>
      </w:tcPr>
    </w:tblStylePr>
    <w:tblStylePr w:type="swCell">
      <w:tcPr>
        <w:tcBorders>
          <w:top w:val="double" w:color="E97132" w:themeColor="accent2" w:sz="4" w:space="0"/>
          <w:right w:val="nil"/>
        </w:tcBorders>
      </w:tcPr>
    </w:tblStylePr>
  </w:style>
  <w:style w:type="table" w:customStyle="1" w:styleId="310">
    <w:name w:val="清单表 3 - 着色 31"/>
    <w:basedOn w:val="88"/>
    <w:uiPriority w:val="48"/>
    <w:tblPr>
      <w:tblBorders>
        <w:top w:val="single" w:color="196B24" w:themeColor="accent3" w:sz="4" w:space="0"/>
        <w:left w:val="single" w:color="196B24" w:themeColor="accent3" w:sz="4" w:space="0"/>
        <w:bottom w:val="single" w:color="196B24" w:themeColor="accent3" w:sz="4" w:space="0"/>
        <w:right w:val="single" w:color="196B24" w:themeColor="accent3" w:sz="4" w:space="0"/>
      </w:tblBorders>
      <w:tblLayout w:type="fixed"/>
    </w:tblPr>
    <w:tblStylePr w:type="firstRow">
      <w:rPr>
        <w:b/>
        <w:bCs/>
        <w:color w:val="FFFFFF" w:themeColor="background1"/>
        <w14:textFill>
          <w14:solidFill>
            <w14:schemeClr w14:val="bg1"/>
          </w14:solidFill>
        </w14:textFill>
      </w:rPr>
      <w:tcPr>
        <w:shd w:val="clear" w:color="auto" w:fill="196B24" w:themeFill="accent3"/>
      </w:tcPr>
    </w:tblStylePr>
    <w:tblStylePr w:type="lastRow">
      <w:rPr>
        <w:b/>
        <w:bCs/>
      </w:rPr>
      <w:tcPr>
        <w:tcBorders>
          <w:top w:val="double" w:color="196B24"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196B24" w:themeColor="accent3" w:sz="4" w:space="0"/>
          <w:right w:val="single" w:color="196B24" w:themeColor="accent3" w:sz="4" w:space="0"/>
        </w:tcBorders>
      </w:tcPr>
    </w:tblStylePr>
    <w:tblStylePr w:type="band1Horz">
      <w:tcPr>
        <w:tcBorders>
          <w:top w:val="single" w:color="196B24" w:themeColor="accent3" w:sz="4" w:space="0"/>
          <w:bottom w:val="single" w:color="196B24"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196B24" w:themeColor="accent3" w:sz="4" w:space="0"/>
          <w:left w:val="nil"/>
        </w:tcBorders>
      </w:tcPr>
    </w:tblStylePr>
    <w:tblStylePr w:type="swCell">
      <w:tcPr>
        <w:tcBorders>
          <w:top w:val="double" w:color="196B24" w:themeColor="accent3" w:sz="4" w:space="0"/>
          <w:right w:val="nil"/>
        </w:tcBorders>
      </w:tcPr>
    </w:tblStylePr>
  </w:style>
  <w:style w:type="table" w:customStyle="1" w:styleId="311">
    <w:name w:val="清单表 3 - 着色 41"/>
    <w:basedOn w:val="88"/>
    <w:uiPriority w:val="48"/>
    <w:tblPr>
      <w:tblBorders>
        <w:top w:val="single" w:color="0F9ED5" w:themeColor="accent4" w:sz="4" w:space="0"/>
        <w:left w:val="single" w:color="0F9ED5" w:themeColor="accent4" w:sz="4" w:space="0"/>
        <w:bottom w:val="single" w:color="0F9ED5" w:themeColor="accent4" w:sz="4" w:space="0"/>
        <w:right w:val="single" w:color="0F9ED5" w:themeColor="accent4" w:sz="4" w:space="0"/>
      </w:tblBorders>
      <w:tblLayout w:type="fixed"/>
    </w:tblPr>
    <w:tblStylePr w:type="firstRow">
      <w:rPr>
        <w:b/>
        <w:bCs/>
        <w:color w:val="FFFFFF" w:themeColor="background1"/>
        <w14:textFill>
          <w14:solidFill>
            <w14:schemeClr w14:val="bg1"/>
          </w14:solidFill>
        </w14:textFill>
      </w:rPr>
      <w:tcPr>
        <w:shd w:val="clear" w:color="auto" w:fill="0F9ED5" w:themeFill="accent4"/>
      </w:tcPr>
    </w:tblStylePr>
    <w:tblStylePr w:type="lastRow">
      <w:rPr>
        <w:b/>
        <w:bCs/>
      </w:rPr>
      <w:tcPr>
        <w:tcBorders>
          <w:top w:val="double" w:color="0F9ED5"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F9ED5" w:themeColor="accent4" w:sz="4" w:space="0"/>
          <w:right w:val="single" w:color="0F9ED5" w:themeColor="accent4" w:sz="4" w:space="0"/>
        </w:tcBorders>
      </w:tcPr>
    </w:tblStylePr>
    <w:tblStylePr w:type="band1Horz">
      <w:tcPr>
        <w:tcBorders>
          <w:top w:val="single" w:color="0F9ED5" w:themeColor="accent4" w:sz="4" w:space="0"/>
          <w:bottom w:val="single" w:color="0F9ED5"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F9ED5" w:themeColor="accent4" w:sz="4" w:space="0"/>
          <w:left w:val="nil"/>
        </w:tcBorders>
      </w:tcPr>
    </w:tblStylePr>
    <w:tblStylePr w:type="swCell">
      <w:tcPr>
        <w:tcBorders>
          <w:top w:val="double" w:color="0F9ED5" w:themeColor="accent4" w:sz="4" w:space="0"/>
          <w:right w:val="nil"/>
        </w:tcBorders>
      </w:tcPr>
    </w:tblStylePr>
  </w:style>
  <w:style w:type="table" w:customStyle="1" w:styleId="312">
    <w:name w:val="清单表 3 - 着色 51"/>
    <w:basedOn w:val="88"/>
    <w:uiPriority w:val="48"/>
    <w:tblPr>
      <w:tblBorders>
        <w:top w:val="single" w:color="A02B93" w:themeColor="accent5" w:sz="4" w:space="0"/>
        <w:left w:val="single" w:color="A02B93" w:themeColor="accent5" w:sz="4" w:space="0"/>
        <w:bottom w:val="single" w:color="A02B93" w:themeColor="accent5" w:sz="4" w:space="0"/>
        <w:right w:val="single" w:color="A02B93" w:themeColor="accent5" w:sz="4" w:space="0"/>
      </w:tblBorders>
      <w:tblLayout w:type="fixed"/>
    </w:tblPr>
    <w:tblStylePr w:type="firstRow">
      <w:rPr>
        <w:b/>
        <w:bCs/>
        <w:color w:val="FFFFFF" w:themeColor="background1"/>
        <w14:textFill>
          <w14:solidFill>
            <w14:schemeClr w14:val="bg1"/>
          </w14:solidFill>
        </w14:textFill>
      </w:rPr>
      <w:tcPr>
        <w:shd w:val="clear" w:color="auto" w:fill="A02B93" w:themeFill="accent5"/>
      </w:tcPr>
    </w:tblStylePr>
    <w:tblStylePr w:type="lastRow">
      <w:rPr>
        <w:b/>
        <w:bCs/>
      </w:rPr>
      <w:tcPr>
        <w:tcBorders>
          <w:top w:val="double" w:color="A02B93"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02B93" w:themeColor="accent5" w:sz="4" w:space="0"/>
          <w:right w:val="single" w:color="A02B93" w:themeColor="accent5" w:sz="4" w:space="0"/>
        </w:tcBorders>
      </w:tcPr>
    </w:tblStylePr>
    <w:tblStylePr w:type="band1Horz">
      <w:tcPr>
        <w:tcBorders>
          <w:top w:val="single" w:color="A02B93" w:themeColor="accent5" w:sz="4" w:space="0"/>
          <w:bottom w:val="single" w:color="A02B93"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02B93" w:themeColor="accent5" w:sz="4" w:space="0"/>
          <w:left w:val="nil"/>
        </w:tcBorders>
      </w:tcPr>
    </w:tblStylePr>
    <w:tblStylePr w:type="swCell">
      <w:tcPr>
        <w:tcBorders>
          <w:top w:val="double" w:color="A02B93" w:themeColor="accent5" w:sz="4" w:space="0"/>
          <w:right w:val="nil"/>
        </w:tcBorders>
      </w:tcPr>
    </w:tblStylePr>
  </w:style>
  <w:style w:type="table" w:customStyle="1" w:styleId="313">
    <w:name w:val="清单表 3 - 着色 61"/>
    <w:basedOn w:val="88"/>
    <w:uiPriority w:val="48"/>
    <w:tblPr>
      <w:tblBorders>
        <w:top w:val="single" w:color="4EA72E" w:themeColor="accent6" w:sz="4" w:space="0"/>
        <w:left w:val="single" w:color="4EA72E" w:themeColor="accent6" w:sz="4" w:space="0"/>
        <w:bottom w:val="single" w:color="4EA72E" w:themeColor="accent6" w:sz="4" w:space="0"/>
        <w:right w:val="single" w:color="4EA72E" w:themeColor="accent6" w:sz="4" w:space="0"/>
      </w:tblBorders>
      <w:tblLayout w:type="fixed"/>
    </w:tblPr>
    <w:tblStylePr w:type="firstRow">
      <w:rPr>
        <w:b/>
        <w:bCs/>
        <w:color w:val="FFFFFF" w:themeColor="background1"/>
        <w14:textFill>
          <w14:solidFill>
            <w14:schemeClr w14:val="bg1"/>
          </w14:solidFill>
        </w14:textFill>
      </w:rPr>
      <w:tcPr>
        <w:shd w:val="clear" w:color="auto" w:fill="4EA72E" w:themeFill="accent6"/>
      </w:tcPr>
    </w:tblStylePr>
    <w:tblStylePr w:type="lastRow">
      <w:rPr>
        <w:b/>
        <w:bCs/>
      </w:rPr>
      <w:tcPr>
        <w:tcBorders>
          <w:top w:val="double" w:color="4EA72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EA72E" w:themeColor="accent6" w:sz="4" w:space="0"/>
          <w:right w:val="single" w:color="4EA72E" w:themeColor="accent6" w:sz="4" w:space="0"/>
        </w:tcBorders>
      </w:tcPr>
    </w:tblStylePr>
    <w:tblStylePr w:type="band1Horz">
      <w:tcPr>
        <w:tcBorders>
          <w:top w:val="single" w:color="4EA72E" w:themeColor="accent6" w:sz="4" w:space="0"/>
          <w:bottom w:val="single" w:color="4EA72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EA72E" w:themeColor="accent6" w:sz="4" w:space="0"/>
          <w:left w:val="nil"/>
        </w:tcBorders>
      </w:tcPr>
    </w:tblStylePr>
    <w:tblStylePr w:type="swCell">
      <w:tcPr>
        <w:tcBorders>
          <w:top w:val="double" w:color="4EA72E" w:themeColor="accent6" w:sz="4" w:space="0"/>
          <w:right w:val="nil"/>
        </w:tcBorders>
      </w:tcPr>
    </w:tblStylePr>
  </w:style>
  <w:style w:type="table" w:customStyle="1" w:styleId="314">
    <w:name w:val="清单表 41"/>
    <w:basedOn w:val="88"/>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Layout w:type="fixed"/>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5">
    <w:name w:val="清单表 4 - 着色 11"/>
    <w:basedOn w:val="88"/>
    <w:uiPriority w:val="49"/>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cPr>
        <w:tcBorders>
          <w:top w:val="double" w:color="45B0E1" w:themeColor="accent1" w:themeTint="99"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16">
    <w:name w:val="清单表 4 - 着色 21"/>
    <w:basedOn w:val="88"/>
    <w:uiPriority w:val="49"/>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Layout w:type="fixed"/>
    </w:tblPr>
    <w:tblStylePr w:type="firstRow">
      <w:rPr>
        <w:b/>
        <w:bCs/>
        <w:color w:val="FFFFFF" w:themeColor="background1"/>
        <w14:textFill>
          <w14:solidFill>
            <w14:schemeClr w14:val="bg1"/>
          </w14:solidFill>
        </w14:textFill>
      </w:r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cPr>
        <w:tcBorders>
          <w:top w:val="double" w:color="F1A983" w:themeColor="accent2" w:themeTint="99"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17">
    <w:name w:val="清单表 4 - 着色 31"/>
    <w:basedOn w:val="88"/>
    <w:uiPriority w:val="49"/>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tblBorders>
      <w:tblLayout w:type="fixed"/>
    </w:tblPr>
    <w:tblStylePr w:type="firstRow">
      <w:rPr>
        <w:b/>
        <w:bCs/>
        <w:color w:val="FFFFFF" w:themeColor="background1"/>
        <w14:textFill>
          <w14:solidFill>
            <w14:schemeClr w14:val="bg1"/>
          </w14:solidFill>
        </w14:textFill>
      </w:r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cPr>
        <w:tcBorders>
          <w:top w:val="double" w:color="47D45A" w:themeColor="accent3" w:themeTint="99"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18">
    <w:name w:val="清单表 4 - 着色 41"/>
    <w:basedOn w:val="88"/>
    <w:uiPriority w:val="49"/>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tblBorders>
      <w:tblLayout w:type="fixed"/>
    </w:tblPr>
    <w:tblStylePr w:type="firstRow">
      <w:rPr>
        <w:b/>
        <w:bCs/>
        <w:color w:val="FFFFFF" w:themeColor="background1"/>
        <w14:textFill>
          <w14:solidFill>
            <w14:schemeClr w14:val="bg1"/>
          </w14:solidFill>
        </w14:textFill>
      </w:r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cPr>
        <w:tcBorders>
          <w:top w:val="double" w:color="60CBF3" w:themeColor="accent4" w:themeTint="99"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19">
    <w:name w:val="清单表 4 - 着色 51"/>
    <w:basedOn w:val="88"/>
    <w:uiPriority w:val="49"/>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tblBorders>
      <w:tblLayout w:type="fixed"/>
    </w:tblPr>
    <w:tblStylePr w:type="firstRow">
      <w:rPr>
        <w:b/>
        <w:bCs/>
        <w:color w:val="FFFFFF" w:themeColor="background1"/>
        <w14:textFill>
          <w14:solidFill>
            <w14:schemeClr w14:val="bg1"/>
          </w14:solidFill>
        </w14:textFill>
      </w:r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cPr>
        <w:tcBorders>
          <w:top w:val="double" w:color="D76DCC" w:themeColor="accent5" w:themeTint="99"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20">
    <w:name w:val="清单表 4 - 着色 61"/>
    <w:basedOn w:val="88"/>
    <w:uiPriority w:val="49"/>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tblBorders>
      <w:tblLayout w:type="fixed"/>
    </w:tblPr>
    <w:tblStylePr w:type="firstRow">
      <w:rPr>
        <w:b/>
        <w:bCs/>
        <w:color w:val="FFFFFF" w:themeColor="background1"/>
        <w14:textFill>
          <w14:solidFill>
            <w14:schemeClr w14:val="bg1"/>
          </w14:solidFill>
        </w14:textFill>
      </w:r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cPr>
        <w:tcBorders>
          <w:top w:val="double" w:color="8ED873" w:themeColor="accent6" w:themeTint="99"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21">
    <w:name w:val="清单表 5 深色1"/>
    <w:basedOn w:val="88"/>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Layout w:type="fixed"/>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2">
    <w:name w:val="清单表 5 深色 - 着色 11"/>
    <w:basedOn w:val="88"/>
    <w:uiPriority w:val="50"/>
    <w:rPr>
      <w:color w:val="FFFFFF" w:themeColor="background1"/>
      <w14:textFill>
        <w14:solidFill>
          <w14:schemeClr w14:val="bg1"/>
        </w14:solidFill>
      </w14:textFill>
    </w:rPr>
    <w:tblPr>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Layout w:type="fixed"/>
    </w:tblPr>
    <w:tcPr>
      <w:shd w:val="clear" w:color="auto" w:fill="156082"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3">
    <w:name w:val="清单表 5 深色 - 着色 21"/>
    <w:basedOn w:val="88"/>
    <w:uiPriority w:val="50"/>
    <w:rPr>
      <w:color w:val="FFFFFF" w:themeColor="background1"/>
      <w14:textFill>
        <w14:solidFill>
          <w14:schemeClr w14:val="bg1"/>
        </w14:solidFill>
      </w14:textFill>
    </w:rPr>
    <w:tblPr>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Layout w:type="fixed"/>
    </w:tblPr>
    <w:tcPr>
      <w:shd w:val="clear" w:color="auto" w:fill="E97132"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4">
    <w:name w:val="清单表 5 深色 - 着色 31"/>
    <w:basedOn w:val="88"/>
    <w:uiPriority w:val="50"/>
    <w:rPr>
      <w:color w:val="FFFFFF" w:themeColor="background1"/>
      <w14:textFill>
        <w14:solidFill>
          <w14:schemeClr w14:val="bg1"/>
        </w14:solidFill>
      </w14:textFill>
    </w:rPr>
    <w:tblPr>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Layout w:type="fixed"/>
    </w:tblPr>
    <w:tcPr>
      <w:shd w:val="clear" w:color="auto" w:fill="196B24"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5">
    <w:name w:val="清单表 5 深色 - 着色 41"/>
    <w:basedOn w:val="88"/>
    <w:uiPriority w:val="50"/>
    <w:rPr>
      <w:color w:val="FFFFFF" w:themeColor="background1"/>
      <w14:textFill>
        <w14:solidFill>
          <w14:schemeClr w14:val="bg1"/>
        </w14:solidFill>
      </w14:textFill>
    </w:rPr>
    <w:tblPr>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Layout w:type="fixed"/>
    </w:tblPr>
    <w:tcPr>
      <w:shd w:val="clear" w:color="auto" w:fill="0F9ED5"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6">
    <w:name w:val="清单表 5 深色 - 着色 51"/>
    <w:basedOn w:val="88"/>
    <w:uiPriority w:val="50"/>
    <w:rPr>
      <w:color w:val="FFFFFF" w:themeColor="background1"/>
      <w14:textFill>
        <w14:solidFill>
          <w14:schemeClr w14:val="bg1"/>
        </w14:solidFill>
      </w14:textFill>
    </w:rPr>
    <w:tblPr>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Layout w:type="fixed"/>
    </w:tblPr>
    <w:tcPr>
      <w:shd w:val="clear" w:color="auto" w:fill="A02B93"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7">
    <w:name w:val="清单表 5 深色 - 着色 61"/>
    <w:basedOn w:val="88"/>
    <w:uiPriority w:val="50"/>
    <w:rPr>
      <w:color w:val="FFFFFF" w:themeColor="background1"/>
      <w14:textFill>
        <w14:solidFill>
          <w14:schemeClr w14:val="bg1"/>
        </w14:solidFill>
      </w14:textFill>
    </w:rPr>
    <w:tblPr>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Layout w:type="fixed"/>
    </w:tblPr>
    <w:tcPr>
      <w:shd w:val="clear" w:color="auto" w:fill="4EA72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8">
    <w:name w:val="清单表 6 彩色1"/>
    <w:basedOn w:val="88"/>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Layout w:type="fixed"/>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29">
    <w:name w:val="清单表 6 彩色 - 着色 11"/>
    <w:basedOn w:val="88"/>
    <w:uiPriority w:val="51"/>
    <w:rPr>
      <w:color w:val="104862" w:themeColor="accent1" w:themeShade="BF"/>
    </w:rPr>
    <w:tblPr>
      <w:tblBorders>
        <w:top w:val="single" w:color="156082" w:themeColor="accent1" w:sz="4" w:space="0"/>
        <w:bottom w:val="single" w:color="156082" w:themeColor="accent1" w:sz="4" w:space="0"/>
      </w:tblBorders>
      <w:tblLayout w:type="fixed"/>
    </w:tblPr>
    <w:tblStylePr w:type="firstRow">
      <w:rPr>
        <w:b/>
        <w:bCs/>
      </w:rPr>
      <w:tcPr>
        <w:tcBorders>
          <w:bottom w:val="single" w:color="156082" w:themeColor="accent1" w:sz="4" w:space="0"/>
        </w:tcBorders>
      </w:tcPr>
    </w:tblStylePr>
    <w:tblStylePr w:type="lastRow">
      <w:rPr>
        <w:b/>
        <w:bCs/>
      </w:rPr>
      <w:tcPr>
        <w:tcBorders>
          <w:top w:val="double" w:color="156082" w:themeColor="accent1"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30">
    <w:name w:val="清单表 6 彩色 - 着色 21"/>
    <w:basedOn w:val="88"/>
    <w:uiPriority w:val="51"/>
    <w:rPr>
      <w:color w:val="C04F15" w:themeColor="accent2" w:themeShade="BF"/>
    </w:rPr>
    <w:tblPr>
      <w:tblBorders>
        <w:top w:val="single" w:color="E97132" w:themeColor="accent2" w:sz="4" w:space="0"/>
        <w:bottom w:val="single" w:color="E97132" w:themeColor="accent2" w:sz="4" w:space="0"/>
      </w:tblBorders>
      <w:tblLayout w:type="fixed"/>
    </w:tblPr>
    <w:tblStylePr w:type="firstRow">
      <w:rPr>
        <w:b/>
        <w:bCs/>
      </w:rPr>
      <w:tcPr>
        <w:tcBorders>
          <w:bottom w:val="single" w:color="E97132" w:themeColor="accent2" w:sz="4" w:space="0"/>
        </w:tcBorders>
      </w:tcPr>
    </w:tblStylePr>
    <w:tblStylePr w:type="lastRow">
      <w:rPr>
        <w:b/>
        <w:bCs/>
      </w:rPr>
      <w:tcPr>
        <w:tcBorders>
          <w:top w:val="double" w:color="E97132" w:themeColor="accent2"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31">
    <w:name w:val="清单表 6 彩色 - 着色 31"/>
    <w:basedOn w:val="88"/>
    <w:uiPriority w:val="51"/>
    <w:rPr>
      <w:color w:val="13501B" w:themeColor="accent3" w:themeShade="BF"/>
    </w:rPr>
    <w:tblPr>
      <w:tblBorders>
        <w:top w:val="single" w:color="196B24" w:themeColor="accent3" w:sz="4" w:space="0"/>
        <w:bottom w:val="single" w:color="196B24" w:themeColor="accent3" w:sz="4" w:space="0"/>
      </w:tblBorders>
      <w:tblLayout w:type="fixed"/>
    </w:tblPr>
    <w:tblStylePr w:type="firstRow">
      <w:rPr>
        <w:b/>
        <w:bCs/>
      </w:rPr>
      <w:tcPr>
        <w:tcBorders>
          <w:bottom w:val="single" w:color="196B24" w:themeColor="accent3" w:sz="4" w:space="0"/>
        </w:tcBorders>
      </w:tcPr>
    </w:tblStylePr>
    <w:tblStylePr w:type="lastRow">
      <w:rPr>
        <w:b/>
        <w:bCs/>
      </w:rPr>
      <w:tcPr>
        <w:tcBorders>
          <w:top w:val="double" w:color="196B24" w:themeColor="accent3"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32">
    <w:name w:val="清单表 6 彩色 - 着色 41"/>
    <w:basedOn w:val="88"/>
    <w:uiPriority w:val="51"/>
    <w:rPr>
      <w:color w:val="0B76A0" w:themeColor="accent4" w:themeShade="BF"/>
    </w:rPr>
    <w:tblPr>
      <w:tblBorders>
        <w:top w:val="single" w:color="0F9ED5" w:themeColor="accent4" w:sz="4" w:space="0"/>
        <w:bottom w:val="single" w:color="0F9ED5" w:themeColor="accent4" w:sz="4" w:space="0"/>
      </w:tblBorders>
      <w:tblLayout w:type="fixed"/>
    </w:tblPr>
    <w:tblStylePr w:type="firstRow">
      <w:rPr>
        <w:b/>
        <w:bCs/>
      </w:rPr>
      <w:tcPr>
        <w:tcBorders>
          <w:bottom w:val="single" w:color="0F9ED5" w:themeColor="accent4" w:sz="4" w:space="0"/>
        </w:tcBorders>
      </w:tcPr>
    </w:tblStylePr>
    <w:tblStylePr w:type="lastRow">
      <w:rPr>
        <w:b/>
        <w:bCs/>
      </w:rPr>
      <w:tcPr>
        <w:tcBorders>
          <w:top w:val="double" w:color="0F9ED5" w:themeColor="accent4"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33">
    <w:name w:val="清单表 6 彩色 - 着色 51"/>
    <w:basedOn w:val="88"/>
    <w:uiPriority w:val="51"/>
    <w:rPr>
      <w:color w:val="78206E" w:themeColor="accent5" w:themeShade="BF"/>
    </w:rPr>
    <w:tblPr>
      <w:tblBorders>
        <w:top w:val="single" w:color="A02B93" w:themeColor="accent5" w:sz="4" w:space="0"/>
        <w:bottom w:val="single" w:color="A02B93" w:themeColor="accent5" w:sz="4" w:space="0"/>
      </w:tblBorders>
      <w:tblLayout w:type="fixed"/>
    </w:tblPr>
    <w:tblStylePr w:type="firstRow">
      <w:rPr>
        <w:b/>
        <w:bCs/>
      </w:rPr>
      <w:tcPr>
        <w:tcBorders>
          <w:bottom w:val="single" w:color="A02B93" w:themeColor="accent5" w:sz="4" w:space="0"/>
        </w:tcBorders>
      </w:tcPr>
    </w:tblStylePr>
    <w:tblStylePr w:type="lastRow">
      <w:rPr>
        <w:b/>
        <w:bCs/>
      </w:rPr>
      <w:tcPr>
        <w:tcBorders>
          <w:top w:val="double" w:color="A02B93" w:themeColor="accent5"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34">
    <w:name w:val="清单表 6 彩色 - 着色 61"/>
    <w:basedOn w:val="88"/>
    <w:uiPriority w:val="51"/>
    <w:rPr>
      <w:color w:val="3B7D23" w:themeColor="accent6" w:themeShade="BF"/>
    </w:rPr>
    <w:tblPr>
      <w:tblBorders>
        <w:top w:val="single" w:color="4EA72E" w:themeColor="accent6" w:sz="4" w:space="0"/>
        <w:bottom w:val="single" w:color="4EA72E" w:themeColor="accent6" w:sz="4" w:space="0"/>
      </w:tblBorders>
      <w:tblLayout w:type="fixed"/>
    </w:tblPr>
    <w:tblStylePr w:type="firstRow">
      <w:rPr>
        <w:b/>
        <w:bCs/>
      </w:rPr>
      <w:tcPr>
        <w:tcBorders>
          <w:bottom w:val="single" w:color="4EA72E" w:themeColor="accent6" w:sz="4" w:space="0"/>
        </w:tcBorders>
      </w:tcPr>
    </w:tblStylePr>
    <w:tblStylePr w:type="lastRow">
      <w:rPr>
        <w:b/>
        <w:bCs/>
      </w:rPr>
      <w:tcPr>
        <w:tcBorders>
          <w:top w:val="double" w:color="4EA72E" w:themeColor="accent6"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35">
    <w:name w:val="清单表 7 彩色1"/>
    <w:basedOn w:val="88"/>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6">
    <w:name w:val="清单表 7 彩色 - 着色 11"/>
    <w:basedOn w:val="88"/>
    <w:uiPriority w:val="52"/>
    <w:rPr>
      <w:color w:val="104862" w:themeColor="accent1" w:themeShade="BF"/>
    </w:rPr>
    <w:tblStylePr w:type="firstRow">
      <w:rPr>
        <w:rFonts w:asciiTheme="majorHAnsi" w:hAnsiTheme="majorHAnsi" w:eastAsiaTheme="majorEastAsia" w:cstheme="majorBidi"/>
        <w:i/>
        <w:iCs/>
        <w:sz w:val="26"/>
      </w:r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156082" w:themeColor="accent1" w:sz="4" w:space="0"/>
        </w:tcBorders>
        <w:shd w:val="clear" w:color="auto" w:fill="FFFFFF" w:themeFill="background1"/>
      </w:tcPr>
    </w:tblStylePr>
    <w:tblStylePr w:type="band1Vert">
      <w:tcPr>
        <w:shd w:val="clear" w:color="auto" w:fill="C1E4F5" w:themeFill="accent1" w:themeFillTint="33"/>
      </w:tcPr>
    </w:tblStylePr>
    <w:tblStylePr w:type="band1Horz">
      <w:tcPr>
        <w:shd w:val="clear" w:color="auto" w:fill="C1E4F5"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7">
    <w:name w:val="清单表 7 彩色 - 着色 21"/>
    <w:basedOn w:val="88"/>
    <w:uiPriority w:val="52"/>
    <w:rPr>
      <w:color w:val="C04F15" w:themeColor="accent2" w:themeShade="BF"/>
    </w:rPr>
    <w:tblStylePr w:type="firstRow">
      <w:rPr>
        <w:rFonts w:asciiTheme="majorHAnsi" w:hAnsiTheme="majorHAnsi" w:eastAsiaTheme="majorEastAsia" w:cstheme="majorBidi"/>
        <w:i/>
        <w:iCs/>
        <w:sz w:val="26"/>
      </w:r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97132" w:themeColor="accent2" w:sz="4" w:space="0"/>
        </w:tcBorders>
        <w:shd w:val="clear" w:color="auto" w:fill="FFFFFF" w:themeFill="background1"/>
      </w:tcPr>
    </w:tblStylePr>
    <w:tblStylePr w:type="band1Vert">
      <w:tcPr>
        <w:shd w:val="clear" w:color="auto" w:fill="FAE2D5" w:themeFill="accent2" w:themeFillTint="33"/>
      </w:tcPr>
    </w:tblStylePr>
    <w:tblStylePr w:type="band1Horz">
      <w:tcPr>
        <w:shd w:val="clear" w:color="auto" w:fill="FAE2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8">
    <w:name w:val="清单表 7 彩色 - 着色 31"/>
    <w:basedOn w:val="88"/>
    <w:uiPriority w:val="52"/>
    <w:rPr>
      <w:color w:val="13501B" w:themeColor="accent3" w:themeShade="BF"/>
    </w:rPr>
    <w:tblStylePr w:type="firstRow">
      <w:rPr>
        <w:rFonts w:asciiTheme="majorHAnsi" w:hAnsiTheme="majorHAnsi" w:eastAsiaTheme="majorEastAsia" w:cstheme="majorBidi"/>
        <w:i/>
        <w:iCs/>
        <w:sz w:val="26"/>
      </w:r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196B24" w:themeColor="accent3" w:sz="4" w:space="0"/>
        </w:tcBorders>
        <w:shd w:val="clear" w:color="auto" w:fill="FFFFFF" w:themeFill="background1"/>
      </w:tcPr>
    </w:tblStylePr>
    <w:tblStylePr w:type="band1Vert">
      <w:tcPr>
        <w:shd w:val="clear" w:color="auto" w:fill="C1F0C8" w:themeFill="accent3" w:themeFillTint="33"/>
      </w:tcPr>
    </w:tblStylePr>
    <w:tblStylePr w:type="band1Horz">
      <w:tcPr>
        <w:shd w:val="clear" w:color="auto" w:fill="C1F0C8"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9">
    <w:name w:val="清单表 7 彩色 - 着色 41"/>
    <w:basedOn w:val="88"/>
    <w:uiPriority w:val="52"/>
    <w:rPr>
      <w:color w:val="0B76A0" w:themeColor="accent4" w:themeShade="BF"/>
    </w:rPr>
    <w:tblStylePr w:type="firstRow">
      <w:rPr>
        <w:rFonts w:asciiTheme="majorHAnsi" w:hAnsiTheme="majorHAnsi" w:eastAsiaTheme="majorEastAsia" w:cstheme="majorBidi"/>
        <w:i/>
        <w:iCs/>
        <w:sz w:val="26"/>
      </w:r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F9ED5" w:themeColor="accent4" w:sz="4" w:space="0"/>
        </w:tcBorders>
        <w:shd w:val="clear" w:color="auto" w:fill="FFFFFF" w:themeFill="background1"/>
      </w:tcPr>
    </w:tblStylePr>
    <w:tblStylePr w:type="band1Vert">
      <w:tcPr>
        <w:shd w:val="clear" w:color="auto" w:fill="CAEDFB" w:themeFill="accent4" w:themeFillTint="33"/>
      </w:tcPr>
    </w:tblStylePr>
    <w:tblStylePr w:type="band1Horz">
      <w:tcPr>
        <w:shd w:val="clear" w:color="auto" w:fill="CAEDFB"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0">
    <w:name w:val="清单表 7 彩色 - 着色 51"/>
    <w:basedOn w:val="88"/>
    <w:uiPriority w:val="52"/>
    <w:rPr>
      <w:color w:val="78206E" w:themeColor="accent5" w:themeShade="BF"/>
    </w:rPr>
    <w:tblStylePr w:type="firstRow">
      <w:rPr>
        <w:rFonts w:asciiTheme="majorHAnsi" w:hAnsiTheme="majorHAnsi" w:eastAsiaTheme="majorEastAsia" w:cstheme="majorBidi"/>
        <w:i/>
        <w:iCs/>
        <w:sz w:val="26"/>
      </w:r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02B93" w:themeColor="accent5" w:sz="4" w:space="0"/>
        </w:tcBorders>
        <w:shd w:val="clear" w:color="auto" w:fill="FFFFFF" w:themeFill="background1"/>
      </w:tcPr>
    </w:tblStylePr>
    <w:tblStylePr w:type="band1Vert">
      <w:tcPr>
        <w:shd w:val="clear" w:color="auto" w:fill="F1CEEE" w:themeFill="accent5" w:themeFillTint="33"/>
      </w:tcPr>
    </w:tblStylePr>
    <w:tblStylePr w:type="band1Horz">
      <w:tcPr>
        <w:shd w:val="clear" w:color="auto" w:fill="F1CEEE"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1">
    <w:name w:val="清单表 7 彩色 - 着色 61"/>
    <w:basedOn w:val="88"/>
    <w:uiPriority w:val="52"/>
    <w:rPr>
      <w:color w:val="3B7D23" w:themeColor="accent6" w:themeShade="BF"/>
    </w:rPr>
    <w:tblStylePr w:type="firstRow">
      <w:rPr>
        <w:rFonts w:asciiTheme="majorHAnsi" w:hAnsiTheme="majorHAnsi" w:eastAsiaTheme="majorEastAsia" w:cstheme="majorBidi"/>
        <w:i/>
        <w:iCs/>
        <w:sz w:val="26"/>
      </w:r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EA72E" w:themeColor="accent6" w:sz="4" w:space="0"/>
        </w:tcBorders>
        <w:shd w:val="clear" w:color="auto" w:fill="FFFFFF" w:themeFill="background1"/>
      </w:tcPr>
    </w:tblStylePr>
    <w:tblStylePr w:type="band1Vert">
      <w:tcPr>
        <w:shd w:val="clear" w:color="auto" w:fill="D9F2D0" w:themeFill="accent6" w:themeFillTint="33"/>
      </w:tcPr>
    </w:tblStylePr>
    <w:tblStylePr w:type="band1Horz">
      <w:tcPr>
        <w:shd w:val="clear" w:color="auto" w:fill="D9F2D0"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42">
    <w:name w:val="书籍标题1"/>
    <w:basedOn w:val="231"/>
    <w:qFormat/>
    <w:uiPriority w:val="33"/>
    <w:rPr>
      <w:b/>
      <w:bCs/>
      <w:i/>
      <w:iCs/>
      <w:spacing w:val="5"/>
    </w:rPr>
  </w:style>
  <w:style w:type="paragraph" w:customStyle="1" w:styleId="343">
    <w:name w:val="书目1"/>
    <w:basedOn w:val="1"/>
    <w:next w:val="1"/>
    <w:semiHidden/>
    <w:unhideWhenUsed/>
    <w:uiPriority w:val="37"/>
  </w:style>
  <w:style w:type="table" w:customStyle="1" w:styleId="344">
    <w:name w:val="网格表 1 浅色1"/>
    <w:basedOn w:val="88"/>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45">
    <w:name w:val="网格表 1 浅色 - 着色 11"/>
    <w:basedOn w:val="88"/>
    <w:uiPriority w:val="46"/>
    <w:tblPr>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Layout w:type="fixed"/>
    </w:tblPr>
    <w:tblStylePr w:type="firstRow">
      <w:rPr>
        <w:b/>
        <w:bCs/>
      </w:rPr>
      <w:tcPr>
        <w:tcBorders>
          <w:bottom w:val="single" w:color="45B0E1" w:themeColor="accent1" w:themeTint="99" w:sz="12" w:space="0"/>
        </w:tcBorders>
      </w:tcPr>
    </w:tblStylePr>
    <w:tblStylePr w:type="lastRow">
      <w:rPr>
        <w:b/>
        <w:bCs/>
      </w:rPr>
      <w:tcPr>
        <w:tcBorders>
          <w:top w:val="double" w:color="45B0E1" w:themeColor="accent1" w:themeTint="99" w:sz="2" w:space="0"/>
        </w:tcBorders>
      </w:tcPr>
    </w:tblStylePr>
    <w:tblStylePr w:type="firstCol">
      <w:rPr>
        <w:b/>
        <w:bCs/>
      </w:rPr>
    </w:tblStylePr>
    <w:tblStylePr w:type="lastCol">
      <w:rPr>
        <w:b/>
        <w:bCs/>
      </w:rPr>
    </w:tblStylePr>
  </w:style>
  <w:style w:type="table" w:customStyle="1" w:styleId="346">
    <w:name w:val="网格表 1 浅色 - 着色 21"/>
    <w:basedOn w:val="88"/>
    <w:uiPriority w:val="46"/>
    <w:tblPr>
      <w:tblBorders>
        <w:top w:val="single" w:color="F6C6AC" w:themeColor="accent2" w:themeTint="66" w:sz="4" w:space="0"/>
        <w:left w:val="single" w:color="F6C6AC" w:themeColor="accent2" w:themeTint="66" w:sz="4" w:space="0"/>
        <w:bottom w:val="single" w:color="F6C6AC" w:themeColor="accent2" w:themeTint="66" w:sz="4" w:space="0"/>
        <w:right w:val="single" w:color="F6C6AC" w:themeColor="accent2" w:themeTint="66" w:sz="4" w:space="0"/>
        <w:insideH w:val="single" w:color="F6C6AC" w:themeColor="accent2" w:themeTint="66" w:sz="4" w:space="0"/>
        <w:insideV w:val="single" w:color="F6C6AC" w:themeColor="accent2" w:themeTint="66" w:sz="4" w:space="0"/>
      </w:tblBorders>
      <w:tblLayout w:type="fixed"/>
    </w:tblPr>
    <w:tblStylePr w:type="firstRow">
      <w:rPr>
        <w:b/>
        <w:bCs/>
      </w:rPr>
      <w:tcPr>
        <w:tcBorders>
          <w:bottom w:val="single" w:color="F1A983" w:themeColor="accent2" w:themeTint="99" w:sz="12" w:space="0"/>
        </w:tcBorders>
      </w:tcPr>
    </w:tblStylePr>
    <w:tblStylePr w:type="lastRow">
      <w:rPr>
        <w:b/>
        <w:bCs/>
      </w:rPr>
      <w:tcPr>
        <w:tcBorders>
          <w:top w:val="double" w:color="F1A983" w:themeColor="accent2" w:themeTint="99" w:sz="2" w:space="0"/>
        </w:tcBorders>
      </w:tcPr>
    </w:tblStylePr>
    <w:tblStylePr w:type="firstCol">
      <w:rPr>
        <w:b/>
        <w:bCs/>
      </w:rPr>
    </w:tblStylePr>
    <w:tblStylePr w:type="lastCol">
      <w:rPr>
        <w:b/>
        <w:bCs/>
      </w:rPr>
    </w:tblStylePr>
  </w:style>
  <w:style w:type="table" w:customStyle="1" w:styleId="347">
    <w:name w:val="网格表 1 浅色 - 着色 31"/>
    <w:basedOn w:val="88"/>
    <w:uiPriority w:val="46"/>
    <w:tblPr>
      <w:tblBorders>
        <w:top w:val="single" w:color="84E291" w:themeColor="accent3" w:themeTint="66" w:sz="4" w:space="0"/>
        <w:left w:val="single" w:color="84E291" w:themeColor="accent3" w:themeTint="66" w:sz="4" w:space="0"/>
        <w:bottom w:val="single" w:color="84E291" w:themeColor="accent3" w:themeTint="66" w:sz="4" w:space="0"/>
        <w:right w:val="single" w:color="84E291" w:themeColor="accent3" w:themeTint="66" w:sz="4" w:space="0"/>
        <w:insideH w:val="single" w:color="84E291" w:themeColor="accent3" w:themeTint="66" w:sz="4" w:space="0"/>
        <w:insideV w:val="single" w:color="84E291" w:themeColor="accent3" w:themeTint="66" w:sz="4" w:space="0"/>
      </w:tblBorders>
      <w:tblLayout w:type="fixed"/>
    </w:tblPr>
    <w:tblStylePr w:type="firstRow">
      <w:rPr>
        <w:b/>
        <w:bCs/>
      </w:rPr>
      <w:tcPr>
        <w:tcBorders>
          <w:bottom w:val="single" w:color="47D45A" w:themeColor="accent3" w:themeTint="99" w:sz="12" w:space="0"/>
        </w:tcBorders>
      </w:tcPr>
    </w:tblStylePr>
    <w:tblStylePr w:type="lastRow">
      <w:rPr>
        <w:b/>
        <w:bCs/>
      </w:rPr>
      <w:tcPr>
        <w:tcBorders>
          <w:top w:val="double" w:color="47D45A" w:themeColor="accent3" w:themeTint="99" w:sz="2" w:space="0"/>
        </w:tcBorders>
      </w:tcPr>
    </w:tblStylePr>
    <w:tblStylePr w:type="firstCol">
      <w:rPr>
        <w:b/>
        <w:bCs/>
      </w:rPr>
    </w:tblStylePr>
    <w:tblStylePr w:type="lastCol">
      <w:rPr>
        <w:b/>
        <w:bCs/>
      </w:rPr>
    </w:tblStylePr>
  </w:style>
  <w:style w:type="table" w:customStyle="1" w:styleId="348">
    <w:name w:val="网格表 1 浅色 - 着色 41"/>
    <w:basedOn w:val="88"/>
    <w:uiPriority w:val="46"/>
    <w:tblPr>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Layout w:type="fixed"/>
    </w:tblPr>
    <w:tblStylePr w:type="firstRow">
      <w:rPr>
        <w:b/>
        <w:bCs/>
      </w:rPr>
      <w:tcPr>
        <w:tcBorders>
          <w:bottom w:val="single" w:color="60CBF3" w:themeColor="accent4" w:themeTint="99" w:sz="12" w:space="0"/>
        </w:tcBorders>
      </w:tcPr>
    </w:tblStylePr>
    <w:tblStylePr w:type="lastRow">
      <w:rPr>
        <w:b/>
        <w:bCs/>
      </w:rPr>
      <w:tcPr>
        <w:tcBorders>
          <w:top w:val="double" w:color="60CBF3" w:themeColor="accent4" w:themeTint="99" w:sz="2" w:space="0"/>
        </w:tcBorders>
      </w:tcPr>
    </w:tblStylePr>
    <w:tblStylePr w:type="firstCol">
      <w:rPr>
        <w:b/>
        <w:bCs/>
      </w:rPr>
    </w:tblStylePr>
    <w:tblStylePr w:type="lastCol">
      <w:rPr>
        <w:b/>
        <w:bCs/>
      </w:rPr>
    </w:tblStylePr>
  </w:style>
  <w:style w:type="table" w:customStyle="1" w:styleId="349">
    <w:name w:val="网格表 1 浅色 - 着色 51"/>
    <w:basedOn w:val="88"/>
    <w:uiPriority w:val="46"/>
    <w:tblPr>
      <w:tblBorders>
        <w:top w:val="single" w:color="E49EDD" w:themeColor="accent5" w:themeTint="66" w:sz="4" w:space="0"/>
        <w:left w:val="single" w:color="E49EDD" w:themeColor="accent5" w:themeTint="66" w:sz="4" w:space="0"/>
        <w:bottom w:val="single" w:color="E49EDD" w:themeColor="accent5" w:themeTint="66" w:sz="4" w:space="0"/>
        <w:right w:val="single" w:color="E49EDD" w:themeColor="accent5" w:themeTint="66" w:sz="4" w:space="0"/>
        <w:insideH w:val="single" w:color="E49EDD" w:themeColor="accent5" w:themeTint="66" w:sz="4" w:space="0"/>
        <w:insideV w:val="single" w:color="E49EDD" w:themeColor="accent5" w:themeTint="66" w:sz="4" w:space="0"/>
      </w:tblBorders>
      <w:tblLayout w:type="fixed"/>
    </w:tblPr>
    <w:tblStylePr w:type="firstRow">
      <w:rPr>
        <w:b/>
        <w:bCs/>
      </w:rPr>
      <w:tcPr>
        <w:tcBorders>
          <w:bottom w:val="single" w:color="D76DCC" w:themeColor="accent5" w:themeTint="99" w:sz="12" w:space="0"/>
        </w:tcBorders>
      </w:tcPr>
    </w:tblStylePr>
    <w:tblStylePr w:type="lastRow">
      <w:rPr>
        <w:b/>
        <w:bCs/>
      </w:rPr>
      <w:tcPr>
        <w:tcBorders>
          <w:top w:val="double" w:color="D76DCC" w:themeColor="accent5" w:themeTint="99" w:sz="2" w:space="0"/>
        </w:tcBorders>
      </w:tcPr>
    </w:tblStylePr>
    <w:tblStylePr w:type="firstCol">
      <w:rPr>
        <w:b/>
        <w:bCs/>
      </w:rPr>
    </w:tblStylePr>
    <w:tblStylePr w:type="lastCol">
      <w:rPr>
        <w:b/>
        <w:bCs/>
      </w:rPr>
    </w:tblStylePr>
  </w:style>
  <w:style w:type="table" w:customStyle="1" w:styleId="350">
    <w:name w:val="网格表 1 浅色 - 着色 61"/>
    <w:basedOn w:val="88"/>
    <w:uiPriority w:val="46"/>
    <w:tblPr>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Layout w:type="fixed"/>
    </w:tblPr>
    <w:tblStylePr w:type="firstRow">
      <w:rPr>
        <w:b/>
        <w:bCs/>
      </w:rPr>
      <w:tcPr>
        <w:tcBorders>
          <w:bottom w:val="single" w:color="8ED873" w:themeColor="accent6" w:themeTint="99" w:sz="12" w:space="0"/>
        </w:tcBorders>
      </w:tcPr>
    </w:tblStylePr>
    <w:tblStylePr w:type="lastRow">
      <w:rPr>
        <w:b/>
        <w:bCs/>
      </w:rPr>
      <w:tcPr>
        <w:tcBorders>
          <w:top w:val="double" w:color="8ED873" w:themeColor="accent6" w:themeTint="99" w:sz="2" w:space="0"/>
        </w:tcBorders>
      </w:tcPr>
    </w:tblStylePr>
    <w:tblStylePr w:type="firstCol">
      <w:rPr>
        <w:b/>
        <w:bCs/>
      </w:rPr>
    </w:tblStylePr>
    <w:tblStylePr w:type="lastCol">
      <w:rPr>
        <w:b/>
        <w:bCs/>
      </w:rPr>
    </w:tblStylePr>
  </w:style>
  <w:style w:type="table" w:customStyle="1" w:styleId="351">
    <w:name w:val="网格表 21"/>
    <w:basedOn w:val="88"/>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Layout w:type="fixed"/>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2">
    <w:name w:val="网格表 2 - 着色 11"/>
    <w:basedOn w:val="88"/>
    <w:uiPriority w:val="47"/>
    <w:tblPr>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Layout w:type="fixed"/>
    </w:tblPr>
    <w:tblStylePr w:type="firstRow">
      <w:rPr>
        <w:b/>
        <w:bCs/>
      </w:rPr>
      <w:tcPr>
        <w:tcBorders>
          <w:top w:val="nil"/>
          <w:bottom w:val="single" w:color="45B0E1" w:themeColor="accent1" w:themeTint="99" w:sz="12" w:space="0"/>
          <w:insideH w:val="nil"/>
          <w:insideV w:val="nil"/>
        </w:tcBorders>
        <w:shd w:val="clear" w:color="auto" w:fill="FFFFFF" w:themeFill="background1"/>
      </w:tcPr>
    </w:tblStylePr>
    <w:tblStylePr w:type="lastRow">
      <w:rPr>
        <w:b/>
        <w:bCs/>
      </w:r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53">
    <w:name w:val="网格表 2 - 着色 21"/>
    <w:basedOn w:val="88"/>
    <w:qFormat/>
    <w:uiPriority w:val="47"/>
    <w:tblPr>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Layout w:type="fixed"/>
    </w:tblPr>
    <w:tblStylePr w:type="firstRow">
      <w:rPr>
        <w:b/>
        <w:bCs/>
      </w:rPr>
      <w:tcPr>
        <w:tcBorders>
          <w:top w:val="nil"/>
          <w:bottom w:val="single" w:color="F1A983" w:themeColor="accent2" w:themeTint="99" w:sz="12" w:space="0"/>
          <w:insideH w:val="nil"/>
          <w:insideV w:val="nil"/>
        </w:tcBorders>
        <w:shd w:val="clear" w:color="auto" w:fill="FFFFFF" w:themeFill="background1"/>
      </w:tcPr>
    </w:tblStylePr>
    <w:tblStylePr w:type="lastRow">
      <w:rPr>
        <w:b/>
        <w:bCs/>
      </w:r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54">
    <w:name w:val="网格表 2 - 着色 31"/>
    <w:basedOn w:val="88"/>
    <w:uiPriority w:val="47"/>
    <w:tblPr>
      <w:tblBorders>
        <w:top w:val="single" w:color="47D45A" w:themeColor="accent3" w:themeTint="99" w:sz="2" w:space="0"/>
        <w:bottom w:val="single" w:color="47D45A" w:themeColor="accent3" w:themeTint="99" w:sz="2" w:space="0"/>
        <w:insideH w:val="single" w:color="47D45A" w:themeColor="accent3" w:themeTint="99" w:sz="2" w:space="0"/>
        <w:insideV w:val="single" w:color="47D45A" w:themeColor="accent3" w:themeTint="99" w:sz="2" w:space="0"/>
      </w:tblBorders>
      <w:tblLayout w:type="fixed"/>
    </w:tblPr>
    <w:tblStylePr w:type="firstRow">
      <w:rPr>
        <w:b/>
        <w:bCs/>
      </w:rPr>
      <w:tcPr>
        <w:tcBorders>
          <w:top w:val="nil"/>
          <w:bottom w:val="single" w:color="47D45A" w:themeColor="accent3" w:themeTint="99" w:sz="12" w:space="0"/>
          <w:insideH w:val="nil"/>
          <w:insideV w:val="nil"/>
        </w:tcBorders>
        <w:shd w:val="clear" w:color="auto" w:fill="FFFFFF" w:themeFill="background1"/>
      </w:tcPr>
    </w:tblStylePr>
    <w:tblStylePr w:type="lastRow">
      <w:rPr>
        <w:b/>
        <w:bCs/>
      </w:rPr>
      <w:tcPr>
        <w:tcBorders>
          <w:top w:val="double" w:color="47D45A"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55">
    <w:name w:val="网格表 2 - 着色 41"/>
    <w:basedOn w:val="88"/>
    <w:uiPriority w:val="47"/>
    <w:tblPr>
      <w:tblBorders>
        <w:top w:val="single" w:color="60CBF3" w:themeColor="accent4" w:themeTint="99" w:sz="2" w:space="0"/>
        <w:bottom w:val="single" w:color="60CBF3" w:themeColor="accent4" w:themeTint="99" w:sz="2" w:space="0"/>
        <w:insideH w:val="single" w:color="60CBF3" w:themeColor="accent4" w:themeTint="99" w:sz="2" w:space="0"/>
        <w:insideV w:val="single" w:color="60CBF3" w:themeColor="accent4" w:themeTint="99" w:sz="2" w:space="0"/>
      </w:tblBorders>
      <w:tblLayout w:type="fixed"/>
    </w:tblPr>
    <w:tblStylePr w:type="firstRow">
      <w:rPr>
        <w:b/>
        <w:bCs/>
      </w:rPr>
      <w:tcPr>
        <w:tcBorders>
          <w:top w:val="nil"/>
          <w:bottom w:val="single" w:color="60CBF3" w:themeColor="accent4" w:themeTint="99" w:sz="12" w:space="0"/>
          <w:insideH w:val="nil"/>
          <w:insideV w:val="nil"/>
        </w:tcBorders>
        <w:shd w:val="clear" w:color="auto" w:fill="FFFFFF" w:themeFill="background1"/>
      </w:tcPr>
    </w:tblStylePr>
    <w:tblStylePr w:type="lastRow">
      <w:rPr>
        <w:b/>
        <w:bCs/>
      </w:rPr>
      <w:tcPr>
        <w:tcBorders>
          <w:top w:val="double" w:color="60CB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56">
    <w:name w:val="网格表 2 - 着色 51"/>
    <w:basedOn w:val="88"/>
    <w:uiPriority w:val="47"/>
    <w:tblPr>
      <w:tblBorders>
        <w:top w:val="single" w:color="D76DCC" w:themeColor="accent5" w:themeTint="99" w:sz="2" w:space="0"/>
        <w:bottom w:val="single" w:color="D76DCC" w:themeColor="accent5" w:themeTint="99" w:sz="2" w:space="0"/>
        <w:insideH w:val="single" w:color="D76DCC" w:themeColor="accent5" w:themeTint="99" w:sz="2" w:space="0"/>
        <w:insideV w:val="single" w:color="D76DCC" w:themeColor="accent5" w:themeTint="99" w:sz="2" w:space="0"/>
      </w:tblBorders>
      <w:tblLayout w:type="fixed"/>
    </w:tblPr>
    <w:tblStylePr w:type="firstRow">
      <w:rPr>
        <w:b/>
        <w:bCs/>
      </w:rPr>
      <w:tcPr>
        <w:tcBorders>
          <w:top w:val="nil"/>
          <w:bottom w:val="single" w:color="D76DCC" w:themeColor="accent5" w:themeTint="99" w:sz="12" w:space="0"/>
          <w:insideH w:val="nil"/>
          <w:insideV w:val="nil"/>
        </w:tcBorders>
        <w:shd w:val="clear" w:color="auto" w:fill="FFFFFF" w:themeFill="background1"/>
      </w:tcPr>
    </w:tblStylePr>
    <w:tblStylePr w:type="lastRow">
      <w:rPr>
        <w:b/>
        <w:bCs/>
      </w:rPr>
      <w:tcPr>
        <w:tcBorders>
          <w:top w:val="double" w:color="D76DC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57">
    <w:name w:val="网格表 2 - 着色 61"/>
    <w:basedOn w:val="88"/>
    <w:uiPriority w:val="47"/>
    <w:tblPr>
      <w:tblBorders>
        <w:top w:val="single" w:color="8ED873" w:themeColor="accent6" w:themeTint="99" w:sz="2" w:space="0"/>
        <w:bottom w:val="single" w:color="8ED873" w:themeColor="accent6" w:themeTint="99" w:sz="2" w:space="0"/>
        <w:insideH w:val="single" w:color="8ED873" w:themeColor="accent6" w:themeTint="99" w:sz="2" w:space="0"/>
        <w:insideV w:val="single" w:color="8ED873" w:themeColor="accent6" w:themeTint="99" w:sz="2" w:space="0"/>
      </w:tblBorders>
      <w:tblLayout w:type="fixed"/>
    </w:tblPr>
    <w:tblStylePr w:type="firstRow">
      <w:rPr>
        <w:b/>
        <w:bCs/>
      </w:rPr>
      <w:tcPr>
        <w:tcBorders>
          <w:top w:val="nil"/>
          <w:bottom w:val="single" w:color="8ED873" w:themeColor="accent6" w:themeTint="99" w:sz="12" w:space="0"/>
          <w:insideH w:val="nil"/>
          <w:insideV w:val="nil"/>
        </w:tcBorders>
        <w:shd w:val="clear" w:color="auto" w:fill="FFFFFF" w:themeFill="background1"/>
      </w:tcPr>
    </w:tblStylePr>
    <w:tblStylePr w:type="lastRow">
      <w:rPr>
        <w:b/>
        <w:bCs/>
      </w:rPr>
      <w:tcPr>
        <w:tcBorders>
          <w:top w:val="double" w:color="8E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58">
    <w:name w:val="网格表 31"/>
    <w:basedOn w:val="88"/>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59">
    <w:name w:val="网格表 3 - 着色 11"/>
    <w:basedOn w:val="88"/>
    <w:uiPriority w:val="48"/>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E4F5" w:themeFill="accent1" w:themeFillTint="33"/>
      </w:tcPr>
    </w:tblStylePr>
    <w:tblStylePr w:type="band1Horz">
      <w:tcPr>
        <w:shd w:val="clear" w:color="auto" w:fill="C1E4F5" w:themeFill="accent1" w:themeFillTint="33"/>
      </w:tcPr>
    </w:tblStylePr>
    <w:tblStylePr w:type="neCell">
      <w:tcPr>
        <w:tcBorders>
          <w:bottom w:val="single" w:color="45B0E1" w:themeColor="accent1" w:themeTint="99" w:sz="4" w:space="0"/>
        </w:tcBorders>
      </w:tcPr>
    </w:tblStylePr>
    <w:tblStylePr w:type="nwCell">
      <w:tcPr>
        <w:tcBorders>
          <w:bottom w:val="single" w:color="45B0E1" w:themeColor="accent1" w:themeTint="99" w:sz="4" w:space="0"/>
        </w:tcBorders>
      </w:tcPr>
    </w:tblStylePr>
    <w:tblStylePr w:type="seCell">
      <w:tcPr>
        <w:tcBorders>
          <w:top w:val="single" w:color="45B0E1" w:themeColor="accent1" w:themeTint="99" w:sz="4" w:space="0"/>
        </w:tcBorders>
      </w:tcPr>
    </w:tblStylePr>
    <w:tblStylePr w:type="swCell">
      <w:tcPr>
        <w:tcBorders>
          <w:top w:val="single" w:color="45B0E1" w:themeColor="accent1" w:themeTint="99" w:sz="4" w:space="0"/>
        </w:tcBorders>
      </w:tcPr>
    </w:tblStylePr>
  </w:style>
  <w:style w:type="table" w:customStyle="1" w:styleId="360">
    <w:name w:val="网格表 3 - 着色 21"/>
    <w:basedOn w:val="88"/>
    <w:uiPriority w:val="48"/>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AE2D5" w:themeFill="accent2" w:themeFillTint="33"/>
      </w:tcPr>
    </w:tblStylePr>
    <w:tblStylePr w:type="band1Horz">
      <w:tcPr>
        <w:shd w:val="clear" w:color="auto" w:fill="FAE2D5" w:themeFill="accent2" w:themeFillTint="33"/>
      </w:tcPr>
    </w:tblStylePr>
    <w:tblStylePr w:type="neCell">
      <w:tcPr>
        <w:tcBorders>
          <w:bottom w:val="single" w:color="F1A983" w:themeColor="accent2" w:themeTint="99" w:sz="4" w:space="0"/>
        </w:tcBorders>
      </w:tcPr>
    </w:tblStylePr>
    <w:tblStylePr w:type="nwCell">
      <w:tcPr>
        <w:tcBorders>
          <w:bottom w:val="single" w:color="F1A983" w:themeColor="accent2" w:themeTint="99" w:sz="4" w:space="0"/>
        </w:tcBorders>
      </w:tcPr>
    </w:tblStylePr>
    <w:tblStylePr w:type="seCell">
      <w:tcPr>
        <w:tcBorders>
          <w:top w:val="single" w:color="F1A983" w:themeColor="accent2" w:themeTint="99" w:sz="4" w:space="0"/>
        </w:tcBorders>
      </w:tcPr>
    </w:tblStylePr>
    <w:tblStylePr w:type="swCell">
      <w:tcPr>
        <w:tcBorders>
          <w:top w:val="single" w:color="F1A983" w:themeColor="accent2" w:themeTint="99" w:sz="4" w:space="0"/>
        </w:tcBorders>
      </w:tcPr>
    </w:tblStylePr>
  </w:style>
  <w:style w:type="table" w:customStyle="1" w:styleId="361">
    <w:name w:val="网格表 3 - 着色 31"/>
    <w:basedOn w:val="88"/>
    <w:qFormat/>
    <w:uiPriority w:val="48"/>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F0C8" w:themeFill="accent3" w:themeFillTint="33"/>
      </w:tcPr>
    </w:tblStylePr>
    <w:tblStylePr w:type="band1Horz">
      <w:tcPr>
        <w:shd w:val="clear" w:color="auto" w:fill="C1F0C8" w:themeFill="accent3" w:themeFillTint="33"/>
      </w:tcPr>
    </w:tblStylePr>
    <w:tblStylePr w:type="neCell">
      <w:tcPr>
        <w:tcBorders>
          <w:bottom w:val="single" w:color="47D45A" w:themeColor="accent3" w:themeTint="99" w:sz="4" w:space="0"/>
        </w:tcBorders>
      </w:tcPr>
    </w:tblStylePr>
    <w:tblStylePr w:type="nwCell">
      <w:tcPr>
        <w:tcBorders>
          <w:bottom w:val="single" w:color="47D45A" w:themeColor="accent3" w:themeTint="99" w:sz="4" w:space="0"/>
        </w:tcBorders>
      </w:tcPr>
    </w:tblStylePr>
    <w:tblStylePr w:type="seCell">
      <w:tcPr>
        <w:tcBorders>
          <w:top w:val="single" w:color="47D45A" w:themeColor="accent3" w:themeTint="99" w:sz="4" w:space="0"/>
        </w:tcBorders>
      </w:tcPr>
    </w:tblStylePr>
    <w:tblStylePr w:type="swCell">
      <w:tcPr>
        <w:tcBorders>
          <w:top w:val="single" w:color="47D45A" w:themeColor="accent3" w:themeTint="99" w:sz="4" w:space="0"/>
        </w:tcBorders>
      </w:tcPr>
    </w:tblStylePr>
  </w:style>
  <w:style w:type="table" w:customStyle="1" w:styleId="362">
    <w:name w:val="网格表 3 - 着色 41"/>
    <w:basedOn w:val="88"/>
    <w:uiPriority w:val="48"/>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AEDFB" w:themeFill="accent4" w:themeFillTint="33"/>
      </w:tcPr>
    </w:tblStylePr>
    <w:tblStylePr w:type="band1Horz">
      <w:tcPr>
        <w:shd w:val="clear" w:color="auto" w:fill="CAEDFB" w:themeFill="accent4" w:themeFillTint="33"/>
      </w:tcPr>
    </w:tblStylePr>
    <w:tblStylePr w:type="neCell">
      <w:tcPr>
        <w:tcBorders>
          <w:bottom w:val="single" w:color="60CBF3" w:themeColor="accent4" w:themeTint="99" w:sz="4" w:space="0"/>
        </w:tcBorders>
      </w:tcPr>
    </w:tblStylePr>
    <w:tblStylePr w:type="nwCell">
      <w:tcPr>
        <w:tcBorders>
          <w:bottom w:val="single" w:color="60CBF3" w:themeColor="accent4" w:themeTint="99" w:sz="4" w:space="0"/>
        </w:tcBorders>
      </w:tcPr>
    </w:tblStylePr>
    <w:tblStylePr w:type="seCell">
      <w:tcPr>
        <w:tcBorders>
          <w:top w:val="single" w:color="60CBF3" w:themeColor="accent4" w:themeTint="99" w:sz="4" w:space="0"/>
        </w:tcBorders>
      </w:tcPr>
    </w:tblStylePr>
    <w:tblStylePr w:type="swCell">
      <w:tcPr>
        <w:tcBorders>
          <w:top w:val="single" w:color="60CBF3" w:themeColor="accent4" w:themeTint="99" w:sz="4" w:space="0"/>
        </w:tcBorders>
      </w:tcPr>
    </w:tblStylePr>
  </w:style>
  <w:style w:type="table" w:customStyle="1" w:styleId="363">
    <w:name w:val="网格表 3 - 着色 51"/>
    <w:basedOn w:val="88"/>
    <w:uiPriority w:val="48"/>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1CEEE" w:themeFill="accent5" w:themeFillTint="33"/>
      </w:tcPr>
    </w:tblStylePr>
    <w:tblStylePr w:type="band1Horz">
      <w:tcPr>
        <w:shd w:val="clear" w:color="auto" w:fill="F1CEEE" w:themeFill="accent5" w:themeFillTint="33"/>
      </w:tcPr>
    </w:tblStylePr>
    <w:tblStylePr w:type="neCell">
      <w:tcPr>
        <w:tcBorders>
          <w:bottom w:val="single" w:color="D76DCC" w:themeColor="accent5" w:themeTint="99" w:sz="4" w:space="0"/>
        </w:tcBorders>
      </w:tcPr>
    </w:tblStylePr>
    <w:tblStylePr w:type="nwCell">
      <w:tcPr>
        <w:tcBorders>
          <w:bottom w:val="single" w:color="D76DCC" w:themeColor="accent5" w:themeTint="99" w:sz="4" w:space="0"/>
        </w:tcBorders>
      </w:tcPr>
    </w:tblStylePr>
    <w:tblStylePr w:type="seCell">
      <w:tcPr>
        <w:tcBorders>
          <w:top w:val="single" w:color="D76DCC" w:themeColor="accent5" w:themeTint="99" w:sz="4" w:space="0"/>
        </w:tcBorders>
      </w:tcPr>
    </w:tblStylePr>
    <w:tblStylePr w:type="swCell">
      <w:tcPr>
        <w:tcBorders>
          <w:top w:val="single" w:color="D76DCC" w:themeColor="accent5" w:themeTint="99" w:sz="4" w:space="0"/>
        </w:tcBorders>
      </w:tcPr>
    </w:tblStylePr>
  </w:style>
  <w:style w:type="table" w:customStyle="1" w:styleId="364">
    <w:name w:val="网格表 3 - 着色 61"/>
    <w:basedOn w:val="88"/>
    <w:uiPriority w:val="48"/>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F2D0" w:themeFill="accent6" w:themeFillTint="33"/>
      </w:tcPr>
    </w:tblStylePr>
    <w:tblStylePr w:type="band1Horz">
      <w:tcPr>
        <w:shd w:val="clear" w:color="auto" w:fill="D9F2D0" w:themeFill="accent6" w:themeFillTint="33"/>
      </w:tcPr>
    </w:tblStylePr>
    <w:tblStylePr w:type="neCell">
      <w:tcPr>
        <w:tcBorders>
          <w:bottom w:val="single" w:color="8ED873" w:themeColor="accent6" w:themeTint="99" w:sz="4" w:space="0"/>
        </w:tcBorders>
      </w:tcPr>
    </w:tblStylePr>
    <w:tblStylePr w:type="nwCell">
      <w:tcPr>
        <w:tcBorders>
          <w:bottom w:val="single" w:color="8ED873" w:themeColor="accent6" w:themeTint="99" w:sz="4" w:space="0"/>
        </w:tcBorders>
      </w:tcPr>
    </w:tblStylePr>
    <w:tblStylePr w:type="seCell">
      <w:tcPr>
        <w:tcBorders>
          <w:top w:val="single" w:color="8ED873" w:themeColor="accent6" w:themeTint="99" w:sz="4" w:space="0"/>
        </w:tcBorders>
      </w:tcPr>
    </w:tblStylePr>
    <w:tblStylePr w:type="swCell">
      <w:tcPr>
        <w:tcBorders>
          <w:top w:val="single" w:color="8ED873" w:themeColor="accent6" w:themeTint="99" w:sz="4" w:space="0"/>
        </w:tcBorders>
      </w:tcPr>
    </w:tblStylePr>
  </w:style>
  <w:style w:type="table" w:customStyle="1" w:styleId="365">
    <w:name w:val="网格表 41"/>
    <w:basedOn w:val="88"/>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6">
    <w:name w:val="网格表 4 - 着色 11"/>
    <w:basedOn w:val="88"/>
    <w:uiPriority w:val="49"/>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cPr>
        <w:tcBorders>
          <w:top w:val="double" w:color="156082" w:themeColor="accent1"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67">
    <w:name w:val="网格表 4 - 着色 21"/>
    <w:basedOn w:val="88"/>
    <w:uiPriority w:val="49"/>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Layout w:type="fixed"/>
    </w:tblPr>
    <w:tblStylePr w:type="firstRow">
      <w:rPr>
        <w:b/>
        <w:bCs/>
        <w:color w:val="FFFFFF" w:themeColor="background1"/>
        <w14:textFill>
          <w14:solidFill>
            <w14:schemeClr w14:val="bg1"/>
          </w14:solidFill>
        </w14:textFill>
      </w:r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cPr>
        <w:tcBorders>
          <w:top w:val="double" w:color="E97132" w:themeColor="accent2"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68">
    <w:name w:val="网格表 4 - 着色 31"/>
    <w:basedOn w:val="88"/>
    <w:uiPriority w:val="49"/>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Layout w:type="fixed"/>
    </w:tblPr>
    <w:tblStylePr w:type="firstRow">
      <w:rPr>
        <w:b/>
        <w:bCs/>
        <w:color w:val="FFFFFF" w:themeColor="background1"/>
        <w14:textFill>
          <w14:solidFill>
            <w14:schemeClr w14:val="bg1"/>
          </w14:solidFill>
        </w14:textFill>
      </w:r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cPr>
        <w:tcBorders>
          <w:top w:val="double" w:color="196B24" w:themeColor="accent3"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69">
    <w:name w:val="网格表 4 - 着色 41"/>
    <w:basedOn w:val="88"/>
    <w:uiPriority w:val="49"/>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Pr>
    <w:tblStylePr w:type="firstRow">
      <w:rPr>
        <w:b/>
        <w:bCs/>
        <w:color w:val="FFFFFF" w:themeColor="background1"/>
        <w14:textFill>
          <w14:solidFill>
            <w14:schemeClr w14:val="bg1"/>
          </w14:solidFill>
        </w14:textFill>
      </w:r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cPr>
        <w:tcBorders>
          <w:top w:val="double" w:color="0F9ED5" w:themeColor="accent4"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70">
    <w:name w:val="网格表 4 - 着色 51"/>
    <w:basedOn w:val="88"/>
    <w:uiPriority w:val="49"/>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Layout w:type="fixed"/>
    </w:tblPr>
    <w:tblStylePr w:type="firstRow">
      <w:rPr>
        <w:b/>
        <w:bCs/>
        <w:color w:val="FFFFFF" w:themeColor="background1"/>
        <w14:textFill>
          <w14:solidFill>
            <w14:schemeClr w14:val="bg1"/>
          </w14:solidFill>
        </w14:textFill>
      </w:r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cPr>
        <w:tcBorders>
          <w:top w:val="double" w:color="A02B93" w:themeColor="accent5"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71">
    <w:name w:val="网格表 4 - 着色 61"/>
    <w:basedOn w:val="88"/>
    <w:uiPriority w:val="49"/>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Layout w:type="fixed"/>
    </w:tblPr>
    <w:tblStylePr w:type="firstRow">
      <w:rPr>
        <w:b/>
        <w:bCs/>
        <w:color w:val="FFFFFF" w:themeColor="background1"/>
        <w14:textFill>
          <w14:solidFill>
            <w14:schemeClr w14:val="bg1"/>
          </w14:solidFill>
        </w14:textFill>
      </w:r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cPr>
        <w:tcBorders>
          <w:top w:val="double" w:color="4EA72E" w:themeColor="accent6"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72">
    <w:name w:val="网格表 5 深色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73">
    <w:name w:val="网格表 5 深色 - 着色 1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C1E4F5"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cPr>
        <w:shd w:val="clear" w:color="auto" w:fill="83CAEB" w:themeFill="accent1" w:themeFillTint="66"/>
      </w:tcPr>
    </w:tblStylePr>
    <w:tblStylePr w:type="band1Horz">
      <w:tcPr>
        <w:shd w:val="clear" w:color="auto" w:fill="83CAEB" w:themeFill="accent1" w:themeFillTint="66"/>
      </w:tcPr>
    </w:tblStylePr>
  </w:style>
  <w:style w:type="table" w:customStyle="1" w:styleId="374">
    <w:name w:val="网格表 5 深色 - 着色 2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FAE2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cPr>
        <w:shd w:val="clear" w:color="auto" w:fill="F6C6AC" w:themeFill="accent2" w:themeFillTint="66"/>
      </w:tcPr>
    </w:tblStylePr>
    <w:tblStylePr w:type="band1Horz">
      <w:tcPr>
        <w:shd w:val="clear" w:color="auto" w:fill="F6C6AC" w:themeFill="accent2" w:themeFillTint="66"/>
      </w:tcPr>
    </w:tblStylePr>
  </w:style>
  <w:style w:type="table" w:customStyle="1" w:styleId="375">
    <w:name w:val="网格表 5 深色 - 着色 3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C1F0C8"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cPr>
        <w:shd w:val="clear" w:color="auto" w:fill="84E291" w:themeFill="accent3" w:themeFillTint="66"/>
      </w:tcPr>
    </w:tblStylePr>
    <w:tblStylePr w:type="band1Horz">
      <w:tcPr>
        <w:shd w:val="clear" w:color="auto" w:fill="84E291" w:themeFill="accent3" w:themeFillTint="66"/>
      </w:tcPr>
    </w:tblStylePr>
  </w:style>
  <w:style w:type="table" w:customStyle="1" w:styleId="376">
    <w:name w:val="网格表 5 深色 - 着色 4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CAEDFB"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cPr>
        <w:shd w:val="clear" w:color="auto" w:fill="95DCF7" w:themeFill="accent4" w:themeFillTint="66"/>
      </w:tcPr>
    </w:tblStylePr>
    <w:tblStylePr w:type="band1Horz">
      <w:tcPr>
        <w:shd w:val="clear" w:color="auto" w:fill="95DCF7" w:themeFill="accent4" w:themeFillTint="66"/>
      </w:tcPr>
    </w:tblStylePr>
  </w:style>
  <w:style w:type="table" w:customStyle="1" w:styleId="377">
    <w:name w:val="网格表 5 深色 - 着色 5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F1CEEE"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cPr>
        <w:shd w:val="clear" w:color="auto" w:fill="E49EDD" w:themeFill="accent5" w:themeFillTint="66"/>
      </w:tcPr>
    </w:tblStylePr>
    <w:tblStylePr w:type="band1Horz">
      <w:tcPr>
        <w:shd w:val="clear" w:color="auto" w:fill="E49EDD" w:themeFill="accent5" w:themeFillTint="66"/>
      </w:tcPr>
    </w:tblStylePr>
  </w:style>
  <w:style w:type="table" w:customStyle="1" w:styleId="378">
    <w:name w:val="网格表 5 深色 - 着色 6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D9F2D0"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cPr>
        <w:shd w:val="clear" w:color="auto" w:fill="B3E5A1" w:themeFill="accent6" w:themeFillTint="66"/>
      </w:tcPr>
    </w:tblStylePr>
    <w:tblStylePr w:type="band1Horz">
      <w:tcPr>
        <w:shd w:val="clear" w:color="auto" w:fill="B3E5A1" w:themeFill="accent6" w:themeFillTint="66"/>
      </w:tcPr>
    </w:tblStylePr>
  </w:style>
  <w:style w:type="table" w:customStyle="1" w:styleId="379">
    <w:name w:val="网格表 6 彩色1"/>
    <w:basedOn w:val="88"/>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0">
    <w:name w:val="网格表 6 彩色 - 着色 11"/>
    <w:basedOn w:val="88"/>
    <w:uiPriority w:val="51"/>
    <w:rPr>
      <w:color w:val="104862" w:themeColor="accent1" w:themeShade="BF"/>
    </w:rPr>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Layout w:type="fixed"/>
    </w:tblPr>
    <w:tblStylePr w:type="firstRow">
      <w:rPr>
        <w:b/>
        <w:bCs/>
      </w:rPr>
      <w:tcPr>
        <w:tcBorders>
          <w:bottom w:val="single" w:color="45B0E1" w:themeColor="accent1" w:themeTint="99" w:sz="12" w:space="0"/>
        </w:tcBorders>
      </w:tcPr>
    </w:tblStylePr>
    <w:tblStylePr w:type="lastRow">
      <w:rPr>
        <w:b/>
        <w:bCs/>
      </w:rPr>
      <w:tcPr>
        <w:tcBorders>
          <w:top w:val="double" w:color="45B0E1" w:themeColor="accent1" w:themeTint="99"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81">
    <w:name w:val="网格表 6 彩色 - 着色 21"/>
    <w:basedOn w:val="88"/>
    <w:uiPriority w:val="51"/>
    <w:rPr>
      <w:color w:val="C04F15" w:themeColor="accent2" w:themeShade="BF"/>
    </w:rPr>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Layout w:type="fixed"/>
    </w:tblPr>
    <w:tblStylePr w:type="firstRow">
      <w:rPr>
        <w:b/>
        <w:bCs/>
      </w:rPr>
      <w:tcPr>
        <w:tcBorders>
          <w:bottom w:val="single" w:color="F1A983" w:themeColor="accent2" w:themeTint="99" w:sz="12" w:space="0"/>
        </w:tcBorders>
      </w:tcPr>
    </w:tblStylePr>
    <w:tblStylePr w:type="lastRow">
      <w:rPr>
        <w:b/>
        <w:bCs/>
      </w:rPr>
      <w:tcPr>
        <w:tcBorders>
          <w:top w:val="double" w:color="F1A983" w:themeColor="accent2" w:themeTint="99"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82">
    <w:name w:val="网格表 6 彩色 - 着色 31"/>
    <w:basedOn w:val="88"/>
    <w:uiPriority w:val="51"/>
    <w:rPr>
      <w:color w:val="13501B" w:themeColor="accent3" w:themeShade="BF"/>
    </w:rPr>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Layout w:type="fixed"/>
    </w:tblPr>
    <w:tblStylePr w:type="firstRow">
      <w:rPr>
        <w:b/>
        <w:bCs/>
      </w:rPr>
      <w:tcPr>
        <w:tcBorders>
          <w:bottom w:val="single" w:color="47D45A" w:themeColor="accent3" w:themeTint="99" w:sz="12" w:space="0"/>
        </w:tcBorders>
      </w:tcPr>
    </w:tblStylePr>
    <w:tblStylePr w:type="lastRow">
      <w:rPr>
        <w:b/>
        <w:bCs/>
      </w:rPr>
      <w:tcPr>
        <w:tcBorders>
          <w:top w:val="double" w:color="47D45A" w:themeColor="accent3" w:themeTint="99"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83">
    <w:name w:val="网格表 6 彩色 - 着色 41"/>
    <w:basedOn w:val="88"/>
    <w:uiPriority w:val="51"/>
    <w:rPr>
      <w:color w:val="0B76A0" w:themeColor="accent4" w:themeShade="BF"/>
    </w:rPr>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Pr>
    <w:tblStylePr w:type="firstRow">
      <w:rPr>
        <w:b/>
        <w:bCs/>
      </w:rPr>
      <w:tcPr>
        <w:tcBorders>
          <w:bottom w:val="single" w:color="60CBF3" w:themeColor="accent4" w:themeTint="99" w:sz="12" w:space="0"/>
        </w:tcBorders>
      </w:tcPr>
    </w:tblStylePr>
    <w:tblStylePr w:type="lastRow">
      <w:rPr>
        <w:b/>
        <w:bCs/>
      </w:rPr>
      <w:tcPr>
        <w:tcBorders>
          <w:top w:val="double" w:color="60CBF3" w:themeColor="accent4" w:themeTint="99"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84">
    <w:name w:val="网格表 6 彩色 - 着色 51"/>
    <w:basedOn w:val="88"/>
    <w:uiPriority w:val="51"/>
    <w:rPr>
      <w:color w:val="78206E" w:themeColor="accent5" w:themeShade="BF"/>
    </w:rPr>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Layout w:type="fixed"/>
    </w:tblPr>
    <w:tblStylePr w:type="firstRow">
      <w:rPr>
        <w:b/>
        <w:bCs/>
      </w:rPr>
      <w:tcPr>
        <w:tcBorders>
          <w:bottom w:val="single" w:color="D76DCC" w:themeColor="accent5" w:themeTint="99" w:sz="12" w:space="0"/>
        </w:tcBorders>
      </w:tcPr>
    </w:tblStylePr>
    <w:tblStylePr w:type="lastRow">
      <w:rPr>
        <w:b/>
        <w:bCs/>
      </w:rPr>
      <w:tcPr>
        <w:tcBorders>
          <w:top w:val="double" w:color="D76DCC" w:themeColor="accent5" w:themeTint="99"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85">
    <w:name w:val="网格表 6 彩色 - 着色 61"/>
    <w:basedOn w:val="88"/>
    <w:uiPriority w:val="51"/>
    <w:rPr>
      <w:color w:val="3B7D23" w:themeColor="accent6" w:themeShade="BF"/>
    </w:rPr>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Layout w:type="fixed"/>
    </w:tblPr>
    <w:tblStylePr w:type="firstRow">
      <w:rPr>
        <w:b/>
        <w:bCs/>
      </w:rPr>
      <w:tcPr>
        <w:tcBorders>
          <w:bottom w:val="single" w:color="8ED873" w:themeColor="accent6" w:themeTint="99" w:sz="12" w:space="0"/>
        </w:tcBorders>
      </w:tcPr>
    </w:tblStylePr>
    <w:tblStylePr w:type="lastRow">
      <w:rPr>
        <w:b/>
        <w:bCs/>
      </w:rPr>
      <w:tcPr>
        <w:tcBorders>
          <w:top w:val="double" w:color="8ED873" w:themeColor="accent6" w:themeTint="99"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86">
    <w:name w:val="网格表 7 彩色1"/>
    <w:basedOn w:val="88"/>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87">
    <w:name w:val="网格表 7 彩色 - 着色 11"/>
    <w:basedOn w:val="88"/>
    <w:uiPriority w:val="52"/>
    <w:rPr>
      <w:color w:val="104862" w:themeColor="accent1" w:themeShade="BF"/>
    </w:rPr>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E4F5" w:themeFill="accent1" w:themeFillTint="33"/>
      </w:tcPr>
    </w:tblStylePr>
    <w:tblStylePr w:type="band1Horz">
      <w:tcPr>
        <w:shd w:val="clear" w:color="auto" w:fill="C1E4F5" w:themeFill="accent1" w:themeFillTint="33"/>
      </w:tcPr>
    </w:tblStylePr>
    <w:tblStylePr w:type="neCell">
      <w:tcPr>
        <w:tcBorders>
          <w:bottom w:val="single" w:color="45B0E1" w:themeColor="accent1" w:themeTint="99" w:sz="4" w:space="0"/>
        </w:tcBorders>
      </w:tcPr>
    </w:tblStylePr>
    <w:tblStylePr w:type="nwCell">
      <w:tcPr>
        <w:tcBorders>
          <w:bottom w:val="single" w:color="45B0E1" w:themeColor="accent1" w:themeTint="99" w:sz="4" w:space="0"/>
        </w:tcBorders>
      </w:tcPr>
    </w:tblStylePr>
    <w:tblStylePr w:type="seCell">
      <w:tcPr>
        <w:tcBorders>
          <w:top w:val="single" w:color="45B0E1" w:themeColor="accent1" w:themeTint="99" w:sz="4" w:space="0"/>
        </w:tcBorders>
      </w:tcPr>
    </w:tblStylePr>
    <w:tblStylePr w:type="swCell">
      <w:tcPr>
        <w:tcBorders>
          <w:top w:val="single" w:color="45B0E1" w:themeColor="accent1" w:themeTint="99" w:sz="4" w:space="0"/>
        </w:tcBorders>
      </w:tcPr>
    </w:tblStylePr>
  </w:style>
  <w:style w:type="table" w:customStyle="1" w:styleId="388">
    <w:name w:val="网格表 7 彩色 - 着色 21"/>
    <w:basedOn w:val="88"/>
    <w:uiPriority w:val="52"/>
    <w:rPr>
      <w:color w:val="C04F15" w:themeColor="accent2" w:themeShade="BF"/>
    </w:rPr>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AE2D5" w:themeFill="accent2" w:themeFillTint="33"/>
      </w:tcPr>
    </w:tblStylePr>
    <w:tblStylePr w:type="band1Horz">
      <w:tcPr>
        <w:shd w:val="clear" w:color="auto" w:fill="FAE2D5" w:themeFill="accent2" w:themeFillTint="33"/>
      </w:tcPr>
    </w:tblStylePr>
    <w:tblStylePr w:type="neCell">
      <w:tcPr>
        <w:tcBorders>
          <w:bottom w:val="single" w:color="F1A983" w:themeColor="accent2" w:themeTint="99" w:sz="4" w:space="0"/>
        </w:tcBorders>
      </w:tcPr>
    </w:tblStylePr>
    <w:tblStylePr w:type="nwCell">
      <w:tcPr>
        <w:tcBorders>
          <w:bottom w:val="single" w:color="F1A983" w:themeColor="accent2" w:themeTint="99" w:sz="4" w:space="0"/>
        </w:tcBorders>
      </w:tcPr>
    </w:tblStylePr>
    <w:tblStylePr w:type="seCell">
      <w:tcPr>
        <w:tcBorders>
          <w:top w:val="single" w:color="F1A983" w:themeColor="accent2" w:themeTint="99" w:sz="4" w:space="0"/>
        </w:tcBorders>
      </w:tcPr>
    </w:tblStylePr>
    <w:tblStylePr w:type="swCell">
      <w:tcPr>
        <w:tcBorders>
          <w:top w:val="single" w:color="F1A983" w:themeColor="accent2" w:themeTint="99" w:sz="4" w:space="0"/>
        </w:tcBorders>
      </w:tcPr>
    </w:tblStylePr>
  </w:style>
  <w:style w:type="table" w:customStyle="1" w:styleId="389">
    <w:name w:val="网格表 7 彩色 - 着色 31"/>
    <w:basedOn w:val="88"/>
    <w:uiPriority w:val="52"/>
    <w:rPr>
      <w:color w:val="13501B" w:themeColor="accent3" w:themeShade="BF"/>
    </w:rPr>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F0C8" w:themeFill="accent3" w:themeFillTint="33"/>
      </w:tcPr>
    </w:tblStylePr>
    <w:tblStylePr w:type="band1Horz">
      <w:tcPr>
        <w:shd w:val="clear" w:color="auto" w:fill="C1F0C8" w:themeFill="accent3" w:themeFillTint="33"/>
      </w:tcPr>
    </w:tblStylePr>
    <w:tblStylePr w:type="neCell">
      <w:tcPr>
        <w:tcBorders>
          <w:bottom w:val="single" w:color="47D45A" w:themeColor="accent3" w:themeTint="99" w:sz="4" w:space="0"/>
        </w:tcBorders>
      </w:tcPr>
    </w:tblStylePr>
    <w:tblStylePr w:type="nwCell">
      <w:tcPr>
        <w:tcBorders>
          <w:bottom w:val="single" w:color="47D45A" w:themeColor="accent3" w:themeTint="99" w:sz="4" w:space="0"/>
        </w:tcBorders>
      </w:tcPr>
    </w:tblStylePr>
    <w:tblStylePr w:type="seCell">
      <w:tcPr>
        <w:tcBorders>
          <w:top w:val="single" w:color="47D45A" w:themeColor="accent3" w:themeTint="99" w:sz="4" w:space="0"/>
        </w:tcBorders>
      </w:tcPr>
    </w:tblStylePr>
    <w:tblStylePr w:type="swCell">
      <w:tcPr>
        <w:tcBorders>
          <w:top w:val="single" w:color="47D45A" w:themeColor="accent3" w:themeTint="99" w:sz="4" w:space="0"/>
        </w:tcBorders>
      </w:tcPr>
    </w:tblStylePr>
  </w:style>
  <w:style w:type="table" w:customStyle="1" w:styleId="390">
    <w:name w:val="网格表 7 彩色 - 着色 41"/>
    <w:basedOn w:val="88"/>
    <w:uiPriority w:val="52"/>
    <w:rPr>
      <w:color w:val="0B76A0" w:themeColor="accent4" w:themeShade="BF"/>
    </w:rPr>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AEDFB" w:themeFill="accent4" w:themeFillTint="33"/>
      </w:tcPr>
    </w:tblStylePr>
    <w:tblStylePr w:type="band1Horz">
      <w:tcPr>
        <w:shd w:val="clear" w:color="auto" w:fill="CAEDFB" w:themeFill="accent4" w:themeFillTint="33"/>
      </w:tcPr>
    </w:tblStylePr>
    <w:tblStylePr w:type="neCell">
      <w:tcPr>
        <w:tcBorders>
          <w:bottom w:val="single" w:color="60CBF3" w:themeColor="accent4" w:themeTint="99" w:sz="4" w:space="0"/>
        </w:tcBorders>
      </w:tcPr>
    </w:tblStylePr>
    <w:tblStylePr w:type="nwCell">
      <w:tcPr>
        <w:tcBorders>
          <w:bottom w:val="single" w:color="60CBF3" w:themeColor="accent4" w:themeTint="99" w:sz="4" w:space="0"/>
        </w:tcBorders>
      </w:tcPr>
    </w:tblStylePr>
    <w:tblStylePr w:type="seCell">
      <w:tcPr>
        <w:tcBorders>
          <w:top w:val="single" w:color="60CBF3" w:themeColor="accent4" w:themeTint="99" w:sz="4" w:space="0"/>
        </w:tcBorders>
      </w:tcPr>
    </w:tblStylePr>
    <w:tblStylePr w:type="swCell">
      <w:tcPr>
        <w:tcBorders>
          <w:top w:val="single" w:color="60CBF3" w:themeColor="accent4" w:themeTint="99" w:sz="4" w:space="0"/>
        </w:tcBorders>
      </w:tcPr>
    </w:tblStylePr>
  </w:style>
  <w:style w:type="table" w:customStyle="1" w:styleId="391">
    <w:name w:val="网格表 7 彩色 - 着色 51"/>
    <w:basedOn w:val="88"/>
    <w:uiPriority w:val="52"/>
    <w:rPr>
      <w:color w:val="78206E" w:themeColor="accent5" w:themeShade="BF"/>
    </w:rPr>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1CEEE" w:themeFill="accent5" w:themeFillTint="33"/>
      </w:tcPr>
    </w:tblStylePr>
    <w:tblStylePr w:type="band1Horz">
      <w:tcPr>
        <w:shd w:val="clear" w:color="auto" w:fill="F1CEEE" w:themeFill="accent5" w:themeFillTint="33"/>
      </w:tcPr>
    </w:tblStylePr>
    <w:tblStylePr w:type="neCell">
      <w:tcPr>
        <w:tcBorders>
          <w:bottom w:val="single" w:color="D76DCC" w:themeColor="accent5" w:themeTint="99" w:sz="4" w:space="0"/>
        </w:tcBorders>
      </w:tcPr>
    </w:tblStylePr>
    <w:tblStylePr w:type="nwCell">
      <w:tcPr>
        <w:tcBorders>
          <w:bottom w:val="single" w:color="D76DCC" w:themeColor="accent5" w:themeTint="99" w:sz="4" w:space="0"/>
        </w:tcBorders>
      </w:tcPr>
    </w:tblStylePr>
    <w:tblStylePr w:type="seCell">
      <w:tcPr>
        <w:tcBorders>
          <w:top w:val="single" w:color="D76DCC" w:themeColor="accent5" w:themeTint="99" w:sz="4" w:space="0"/>
        </w:tcBorders>
      </w:tcPr>
    </w:tblStylePr>
    <w:tblStylePr w:type="swCell">
      <w:tcPr>
        <w:tcBorders>
          <w:top w:val="single" w:color="D76DCC" w:themeColor="accent5" w:themeTint="99" w:sz="4" w:space="0"/>
        </w:tcBorders>
      </w:tcPr>
    </w:tblStylePr>
  </w:style>
  <w:style w:type="table" w:customStyle="1" w:styleId="392">
    <w:name w:val="网格表 7 彩色 - 着色 61"/>
    <w:basedOn w:val="88"/>
    <w:uiPriority w:val="52"/>
    <w:rPr>
      <w:color w:val="3B7D23" w:themeColor="accent6" w:themeShade="BF"/>
    </w:rPr>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Layout w:type="fixed"/>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F2D0" w:themeFill="accent6" w:themeFillTint="33"/>
      </w:tcPr>
    </w:tblStylePr>
    <w:tblStylePr w:type="band1Horz">
      <w:tcPr>
        <w:shd w:val="clear" w:color="auto" w:fill="D9F2D0" w:themeFill="accent6" w:themeFillTint="33"/>
      </w:tcPr>
    </w:tblStylePr>
    <w:tblStylePr w:type="neCell">
      <w:tcPr>
        <w:tcBorders>
          <w:bottom w:val="single" w:color="8ED873" w:themeColor="accent6" w:themeTint="99" w:sz="4" w:space="0"/>
        </w:tcBorders>
      </w:tcPr>
    </w:tblStylePr>
    <w:tblStylePr w:type="nwCell">
      <w:tcPr>
        <w:tcBorders>
          <w:bottom w:val="single" w:color="8ED873" w:themeColor="accent6" w:themeTint="99" w:sz="4" w:space="0"/>
        </w:tcBorders>
      </w:tcPr>
    </w:tblStylePr>
    <w:tblStylePr w:type="seCell">
      <w:tcPr>
        <w:tcBorders>
          <w:top w:val="single" w:color="8ED873" w:themeColor="accent6" w:themeTint="99" w:sz="4" w:space="0"/>
        </w:tcBorders>
      </w:tcPr>
    </w:tblStylePr>
    <w:tblStylePr w:type="swCell">
      <w:tcPr>
        <w:tcBorders>
          <w:top w:val="single" w:color="8ED873" w:themeColor="accent6" w:themeTint="99" w:sz="4" w:space="0"/>
        </w:tcBorders>
      </w:tcPr>
    </w:tblStylePr>
  </w:style>
  <w:style w:type="table" w:customStyle="1" w:styleId="393">
    <w:name w:val="网格型浅色1"/>
    <w:basedOn w:val="88"/>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character" w:customStyle="1" w:styleId="394">
    <w:name w:val="尾注文本 字符"/>
    <w:basedOn w:val="231"/>
    <w:link w:val="52"/>
    <w:semiHidden/>
    <w:uiPriority w:val="99"/>
    <w:rPr>
      <w:rFonts w:asciiTheme="minorHAnsi" w:hAnsiTheme="minorHAnsi" w:eastAsiaTheme="minorEastAsia" w:cstheme="minorBidi"/>
      <w:kern w:val="2"/>
      <w:sz w:val="22"/>
      <w:szCs w:val="24"/>
      <w14:ligatures w14:val="standardContextual"/>
    </w:rPr>
  </w:style>
  <w:style w:type="character" w:customStyle="1" w:styleId="395">
    <w:name w:val="未处理的提及2"/>
    <w:basedOn w:val="231"/>
    <w:semiHidden/>
    <w:unhideWhenUsed/>
    <w:uiPriority w:val="99"/>
    <w:rPr>
      <w:color w:val="605E5C"/>
      <w:shd w:val="clear" w:color="auto" w:fill="E1DFDD"/>
    </w:rPr>
  </w:style>
  <w:style w:type="character" w:customStyle="1" w:styleId="396">
    <w:name w:val="文档结构图 字符"/>
    <w:basedOn w:val="231"/>
    <w:link w:val="26"/>
    <w:semiHidden/>
    <w:uiPriority w:val="99"/>
    <w:rPr>
      <w:rFonts w:ascii="Microsoft YaHei UI" w:eastAsia="Microsoft YaHei UI" w:hAnsiTheme="minorHAnsi" w:cstheme="minorBidi"/>
      <w:kern w:val="2"/>
      <w:sz w:val="18"/>
      <w:szCs w:val="18"/>
      <w14:ligatures w14:val="standardContextual"/>
    </w:rPr>
  </w:style>
  <w:style w:type="table" w:customStyle="1" w:styleId="397">
    <w:name w:val="无格式表格 11"/>
    <w:basedOn w:val="88"/>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98">
    <w:name w:val="无格式表格 21"/>
    <w:basedOn w:val="88"/>
    <w:uiPriority w:val="42"/>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99">
    <w:name w:val="无格式表格 31"/>
    <w:basedOn w:val="88"/>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00">
    <w:name w:val="无格式表格 41"/>
    <w:basedOn w:val="88"/>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01">
    <w:name w:val="无格式表格 51"/>
    <w:basedOn w:val="88"/>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02">
    <w:name w:val="No Spacing"/>
    <w:semiHidden/>
    <w:unhideWhenUsed/>
    <w:uiPriority w:val="99"/>
    <w:pPr>
      <w:widowControl w:val="0"/>
    </w:pPr>
    <w:rPr>
      <w:rFonts w:asciiTheme="minorHAnsi" w:hAnsiTheme="minorHAnsi" w:eastAsiaTheme="minorEastAsia" w:cstheme="minorBidi"/>
      <w:kern w:val="2"/>
      <w:sz w:val="22"/>
      <w:szCs w:val="24"/>
      <w:lang w:val="en-US" w:eastAsia="zh-CN" w:bidi="ar-SA"/>
      <w14:ligatures w14:val="standardContextual"/>
    </w:rPr>
  </w:style>
  <w:style w:type="character" w:customStyle="1" w:styleId="403">
    <w:name w:val="信息标题 字符"/>
    <w:basedOn w:val="231"/>
    <w:link w:val="79"/>
    <w:semiHidden/>
    <w:uiPriority w:val="99"/>
    <w:rPr>
      <w:rFonts w:asciiTheme="majorHAnsi" w:hAnsiTheme="majorHAnsi" w:eastAsiaTheme="majorEastAsia" w:cstheme="majorBidi"/>
      <w:kern w:val="2"/>
      <w:sz w:val="24"/>
      <w:szCs w:val="24"/>
      <w:shd w:val="pct20" w:color="auto" w:fill="auto"/>
      <w14:ligatures w14:val="standardContextual"/>
    </w:rPr>
  </w:style>
  <w:style w:type="paragraph" w:styleId="404">
    <w:name w:val="Quote"/>
    <w:basedOn w:val="1"/>
    <w:next w:val="1"/>
    <w:link w:val="405"/>
    <w:semiHidden/>
    <w:unhideWhenUsed/>
    <w:uiPriority w:val="9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05">
    <w:name w:val="引用 字符"/>
    <w:basedOn w:val="231"/>
    <w:link w:val="404"/>
    <w:semiHidden/>
    <w:uiPriority w:val="99"/>
    <w:rPr>
      <w:rFonts w:asciiTheme="minorHAnsi" w:hAnsiTheme="minorHAnsi" w:eastAsiaTheme="minorEastAsia" w:cstheme="minorBidi"/>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406">
    <w:name w:val="正文文本 字符"/>
    <w:basedOn w:val="231"/>
    <w:link w:val="34"/>
    <w:semiHidden/>
    <w:uiPriority w:val="99"/>
    <w:rPr>
      <w:rFonts w:asciiTheme="minorHAnsi" w:hAnsiTheme="minorHAnsi" w:eastAsiaTheme="minorEastAsia" w:cstheme="minorBidi"/>
      <w:kern w:val="2"/>
      <w:sz w:val="22"/>
      <w:szCs w:val="24"/>
      <w14:ligatures w14:val="standardContextual"/>
    </w:rPr>
  </w:style>
  <w:style w:type="character" w:customStyle="1" w:styleId="407">
    <w:name w:val="正文文本 2 字符"/>
    <w:basedOn w:val="231"/>
    <w:link w:val="76"/>
    <w:semiHidden/>
    <w:uiPriority w:val="99"/>
    <w:rPr>
      <w:rFonts w:asciiTheme="minorHAnsi" w:hAnsiTheme="minorHAnsi" w:eastAsiaTheme="minorEastAsia" w:cstheme="minorBidi"/>
      <w:kern w:val="2"/>
      <w:sz w:val="22"/>
      <w:szCs w:val="24"/>
      <w14:ligatures w14:val="standardContextual"/>
    </w:rPr>
  </w:style>
  <w:style w:type="character" w:customStyle="1" w:styleId="408">
    <w:name w:val="正文文本 3 字符"/>
    <w:basedOn w:val="231"/>
    <w:link w:val="31"/>
    <w:semiHidden/>
    <w:uiPriority w:val="99"/>
    <w:rPr>
      <w:rFonts w:asciiTheme="minorHAnsi" w:hAnsiTheme="minorHAnsi" w:eastAsiaTheme="minorEastAsia" w:cstheme="minorBidi"/>
      <w:kern w:val="2"/>
      <w:sz w:val="16"/>
      <w:szCs w:val="16"/>
      <w14:ligatures w14:val="standardContextual"/>
    </w:rPr>
  </w:style>
  <w:style w:type="character" w:customStyle="1" w:styleId="409">
    <w:name w:val="正文文本首行缩进 字符"/>
    <w:basedOn w:val="406"/>
    <w:link w:val="86"/>
    <w:semiHidden/>
    <w:uiPriority w:val="99"/>
    <w:rPr>
      <w:rFonts w:asciiTheme="minorHAnsi" w:hAnsiTheme="minorHAnsi" w:eastAsiaTheme="minorEastAsia" w:cstheme="minorBidi"/>
      <w:kern w:val="2"/>
      <w:sz w:val="22"/>
      <w:szCs w:val="24"/>
      <w14:ligatures w14:val="standardContextual"/>
    </w:rPr>
  </w:style>
  <w:style w:type="character" w:customStyle="1" w:styleId="410">
    <w:name w:val="正文文本缩进 字符"/>
    <w:basedOn w:val="231"/>
    <w:link w:val="35"/>
    <w:semiHidden/>
    <w:uiPriority w:val="99"/>
    <w:rPr>
      <w:rFonts w:asciiTheme="minorHAnsi" w:hAnsiTheme="minorHAnsi" w:eastAsiaTheme="minorEastAsia" w:cstheme="minorBidi"/>
      <w:kern w:val="2"/>
      <w:sz w:val="22"/>
      <w:szCs w:val="24"/>
      <w14:ligatures w14:val="standardContextual"/>
    </w:rPr>
  </w:style>
  <w:style w:type="character" w:customStyle="1" w:styleId="411">
    <w:name w:val="正文文本首行缩进 2 字符"/>
    <w:basedOn w:val="410"/>
    <w:link w:val="87"/>
    <w:semiHidden/>
    <w:uiPriority w:val="99"/>
    <w:rPr>
      <w:rFonts w:asciiTheme="minorHAnsi" w:hAnsiTheme="minorHAnsi" w:eastAsiaTheme="minorEastAsia" w:cstheme="minorBidi"/>
      <w:kern w:val="2"/>
      <w:sz w:val="22"/>
      <w:szCs w:val="24"/>
      <w14:ligatures w14:val="standardContextual"/>
    </w:rPr>
  </w:style>
  <w:style w:type="character" w:customStyle="1" w:styleId="412">
    <w:name w:val="正文文本缩进 2 字符"/>
    <w:basedOn w:val="231"/>
    <w:link w:val="51"/>
    <w:semiHidden/>
    <w:uiPriority w:val="99"/>
    <w:rPr>
      <w:rFonts w:asciiTheme="minorHAnsi" w:hAnsiTheme="minorHAnsi" w:eastAsiaTheme="minorEastAsia" w:cstheme="minorBidi"/>
      <w:kern w:val="2"/>
      <w:sz w:val="22"/>
      <w:szCs w:val="24"/>
      <w14:ligatures w14:val="standardContextual"/>
    </w:rPr>
  </w:style>
  <w:style w:type="character" w:customStyle="1" w:styleId="413">
    <w:name w:val="正文文本缩进 3 字符"/>
    <w:basedOn w:val="231"/>
    <w:link w:val="70"/>
    <w:semiHidden/>
    <w:uiPriority w:val="99"/>
    <w:rPr>
      <w:rFonts w:asciiTheme="minorHAnsi" w:hAnsiTheme="minorHAnsi" w:eastAsiaTheme="minorEastAsia" w:cstheme="minorBidi"/>
      <w:kern w:val="2"/>
      <w:sz w:val="16"/>
      <w:szCs w:val="16"/>
      <w14:ligatures w14:val="standardContextual"/>
    </w:rPr>
  </w:style>
  <w:style w:type="character" w:customStyle="1" w:styleId="414">
    <w:name w:val="智能超链接1"/>
    <w:basedOn w:val="231"/>
    <w:semiHidden/>
    <w:unhideWhenUsed/>
    <w:uiPriority w:val="99"/>
    <w:rPr>
      <w:u w:val="dotted"/>
    </w:rPr>
  </w:style>
  <w:style w:type="character" w:customStyle="1" w:styleId="415">
    <w:name w:val="智能链接1"/>
    <w:basedOn w:val="231"/>
    <w:semiHidden/>
    <w:unhideWhenUsed/>
    <w:uiPriority w:val="99"/>
    <w:rPr>
      <w:color w:val="0000FF"/>
      <w:u w:val="single"/>
      <w:shd w:val="clear" w:color="auto" w:fill="F3F2F1"/>
    </w:rPr>
  </w:style>
  <w:style w:type="character" w:customStyle="1" w:styleId="416">
    <w:name w:val="注释标题 字符"/>
    <w:basedOn w:val="231"/>
    <w:link w:val="16"/>
    <w:semiHidden/>
    <w:uiPriority w:val="99"/>
    <w:rPr>
      <w:rFonts w:asciiTheme="minorHAnsi" w:hAnsiTheme="minorHAnsi" w:eastAsiaTheme="minorEastAsia" w:cstheme="minorBidi"/>
      <w:kern w:val="2"/>
      <w:sz w:val="22"/>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003CDE-0CE7-4183-8B0E-E7D8B81F9396}">
  <ds:schemaRefs/>
</ds:datastoreItem>
</file>

<file path=docProps/app.xml><?xml version="1.0" encoding="utf-8"?>
<Properties xmlns="http://schemas.openxmlformats.org/officeDocument/2006/extended-properties" xmlns:vt="http://schemas.openxmlformats.org/officeDocument/2006/docPropsVTypes">
  <Template>Normal</Template>
  <Pages>44</Pages>
  <Words>4926</Words>
  <Characters>28084</Characters>
  <Lines>234</Lines>
  <Paragraphs>65</Paragraphs>
  <TotalTime>59</TotalTime>
  <ScaleCrop>false</ScaleCrop>
  <LinksUpToDate>false</LinksUpToDate>
  <CharactersWithSpaces>32945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2024-08-07T15:27:00Z</dcterms:created>
  <dc:creator>Administrator</dc:creator>
  <cp:lastModifiedBy>lenovo2</cp:lastModifiedBy>
  <dcterms:modified xsi:type="dcterms:W3CDTF">2025-12-10T09:12:49Z</dcterms:modified>
  <cp:revision>946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A0281C6C901842B1B8A3E86D878FA531_13</vt:lpwstr>
  </property>
  <property fmtid="{D5CDD505-2E9C-101B-9397-08002B2CF9AE}" pid="4" name="KSOTemplateDocerSaveRecord">
    <vt:lpwstr>eyJoZGlkIjoiNDU5NjNkMWMxYmRjMTczMWZhOWQ3YmI3MjMwYjdkYTEifQ==</vt:lpwstr>
  </property>
</Properties>
</file>