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bCs/>
          <w:spacing w:val="4"/>
          <w:sz w:val="44"/>
          <w:szCs w:val="44"/>
        </w:rPr>
      </w:pPr>
    </w:p>
    <w:p>
      <w:pPr>
        <w:spacing w:line="360" w:lineRule="auto"/>
        <w:rPr>
          <w:rFonts w:ascii="黑体" w:hAnsi="黑体" w:eastAsia="黑体" w:cs="黑体"/>
          <w:b/>
          <w:sz w:val="44"/>
          <w:szCs w:val="44"/>
        </w:rPr>
      </w:pPr>
      <w:bookmarkStart w:id="0" w:name="_Toc16008"/>
      <w:bookmarkStart w:id="1" w:name="_Toc1107"/>
      <w:bookmarkStart w:id="2" w:name="_Toc21005"/>
      <w:bookmarkStart w:id="3" w:name="_Toc14011"/>
    </w:p>
    <w:p>
      <w:pPr>
        <w:spacing w:line="360" w:lineRule="auto"/>
        <w:jc w:val="center"/>
        <w:rPr>
          <w:rFonts w:ascii="黑体" w:hAnsi="黑体" w:eastAsia="黑体" w:cs="黑体"/>
          <w:bCs/>
          <w:spacing w:val="4"/>
          <w:sz w:val="44"/>
          <w:szCs w:val="44"/>
        </w:rPr>
      </w:pPr>
      <w:r>
        <w:rPr>
          <w:rFonts w:hint="eastAsia" w:ascii="黑体" w:hAnsi="黑体" w:eastAsia="黑体" w:cs="黑体"/>
          <w:bCs/>
          <w:spacing w:val="4"/>
          <w:sz w:val="44"/>
          <w:szCs w:val="44"/>
        </w:rPr>
        <w:t>2022年度德化县疫情防控资金</w:t>
      </w:r>
    </w:p>
    <w:p>
      <w:pPr>
        <w:spacing w:line="360" w:lineRule="auto"/>
        <w:jc w:val="center"/>
        <w:rPr>
          <w:rFonts w:ascii="黑体" w:hAnsi="黑体" w:eastAsia="黑体" w:cs="黑体"/>
          <w:bCs/>
          <w:spacing w:val="4"/>
          <w:sz w:val="44"/>
          <w:szCs w:val="44"/>
        </w:rPr>
      </w:pPr>
      <w:r>
        <w:rPr>
          <w:rFonts w:hint="eastAsia" w:ascii="黑体" w:hAnsi="黑体" w:eastAsia="黑体" w:cs="黑体"/>
          <w:bCs/>
          <w:spacing w:val="4"/>
          <w:sz w:val="44"/>
          <w:szCs w:val="44"/>
          <w:lang w:val="en-US" w:eastAsia="zh-CN"/>
        </w:rPr>
        <w:t xml:space="preserve"> </w:t>
      </w:r>
      <w:r>
        <w:rPr>
          <w:rFonts w:hint="eastAsia" w:ascii="黑体" w:hAnsi="黑体" w:eastAsia="黑体" w:cs="黑体"/>
          <w:bCs/>
          <w:spacing w:val="4"/>
          <w:sz w:val="44"/>
          <w:szCs w:val="44"/>
        </w:rPr>
        <w:t>绩效评价报告</w:t>
      </w:r>
    </w:p>
    <w:p>
      <w:pPr>
        <w:pStyle w:val="21"/>
        <w:ind w:firstLine="640"/>
      </w:pPr>
    </w:p>
    <w:p>
      <w:pPr>
        <w:pStyle w:val="21"/>
        <w:ind w:firstLine="640"/>
      </w:pPr>
    </w:p>
    <w:p>
      <w:pPr>
        <w:pStyle w:val="21"/>
        <w:ind w:firstLine="640"/>
      </w:pPr>
    </w:p>
    <w:p>
      <w:pPr>
        <w:pStyle w:val="21"/>
        <w:ind w:firstLine="640"/>
      </w:pPr>
    </w:p>
    <w:p>
      <w:pPr>
        <w:pStyle w:val="21"/>
        <w:ind w:firstLine="640"/>
        <w:rPr>
          <w:rFonts w:ascii="黑体" w:hAnsi="黑体" w:eastAsia="黑体" w:cs="黑体"/>
          <w:szCs w:val="32"/>
        </w:rPr>
      </w:pPr>
    </w:p>
    <w:p>
      <w:pPr>
        <w:spacing w:line="360" w:lineRule="auto"/>
        <w:ind w:left="1601" w:leftChars="610" w:hanging="320" w:hangingChars="100"/>
        <w:rPr>
          <w:rFonts w:ascii="黑体" w:hAnsi="黑体" w:eastAsia="黑体" w:cs="黑体"/>
          <w:sz w:val="32"/>
          <w:szCs w:val="32"/>
          <w:u w:val="single"/>
        </w:rPr>
      </w:pPr>
      <w:r>
        <w:rPr>
          <w:rFonts w:hint="eastAsia" w:ascii="黑体" w:hAnsi="黑体" w:eastAsia="黑体" w:cs="黑体"/>
          <w:sz w:val="32"/>
          <w:szCs w:val="32"/>
        </w:rPr>
        <w:t>项目单位：</w:t>
      </w:r>
      <w:r>
        <w:rPr>
          <w:rFonts w:hint="eastAsia" w:ascii="黑体" w:hAnsi="黑体" w:eastAsia="黑体" w:cs="黑体"/>
          <w:sz w:val="32"/>
          <w:szCs w:val="32"/>
          <w:u w:val="single"/>
        </w:rPr>
        <w:t xml:space="preserve">   德化县卫生健康局、18乡镇   </w:t>
      </w:r>
    </w:p>
    <w:p>
      <w:pPr>
        <w:spacing w:line="360" w:lineRule="auto"/>
        <w:ind w:left="1600" w:hanging="1600" w:hangingChars="500"/>
        <w:rPr>
          <w:rFonts w:ascii="黑体" w:hAnsi="黑体" w:eastAsia="黑体" w:cs="黑体"/>
          <w:sz w:val="32"/>
          <w:szCs w:val="32"/>
          <w:u w:val="single"/>
        </w:rPr>
      </w:pPr>
    </w:p>
    <w:p>
      <w:pPr>
        <w:spacing w:line="360" w:lineRule="auto"/>
        <w:ind w:left="1601" w:leftChars="610" w:hanging="320" w:hangingChars="100"/>
        <w:rPr>
          <w:rFonts w:ascii="黑体" w:hAnsi="黑体" w:eastAsia="黑体" w:cs="黑体"/>
          <w:sz w:val="32"/>
          <w:szCs w:val="32"/>
          <w:u w:val="single"/>
        </w:rPr>
      </w:pPr>
      <w:r>
        <w:rPr>
          <w:rFonts w:hint="eastAsia" w:ascii="黑体" w:hAnsi="黑体" w:eastAsia="黑体" w:cs="黑体"/>
          <w:sz w:val="32"/>
          <w:szCs w:val="32"/>
        </w:rPr>
        <w:t>委托单位：</w:t>
      </w:r>
      <w:r>
        <w:rPr>
          <w:rFonts w:hint="eastAsia" w:ascii="黑体" w:hAnsi="黑体" w:eastAsia="黑体" w:cs="黑体"/>
          <w:sz w:val="32"/>
          <w:szCs w:val="32"/>
          <w:u w:val="single"/>
        </w:rPr>
        <w:t xml:space="preserve">        德化县财政局           </w:t>
      </w:r>
    </w:p>
    <w:p>
      <w:pPr>
        <w:pStyle w:val="10"/>
      </w:pPr>
    </w:p>
    <w:p>
      <w:pPr>
        <w:spacing w:line="360" w:lineRule="auto"/>
        <w:ind w:left="1601" w:leftChars="610" w:hanging="320" w:hangingChars="100"/>
        <w:rPr>
          <w:rFonts w:ascii="黑体" w:hAnsi="黑体" w:eastAsia="黑体" w:cs="黑体"/>
          <w:sz w:val="32"/>
          <w:szCs w:val="32"/>
          <w:u w:val="single"/>
        </w:rPr>
      </w:pPr>
      <w:r>
        <w:rPr>
          <w:rFonts w:hint="eastAsia" w:ascii="黑体" w:hAnsi="黑体" w:eastAsia="黑体" w:cs="黑体"/>
          <w:sz w:val="32"/>
          <w:szCs w:val="32"/>
        </w:rPr>
        <w:t>项目金额：</w:t>
      </w:r>
      <w:r>
        <w:rPr>
          <w:rFonts w:hint="eastAsia" w:ascii="黑体" w:hAnsi="黑体" w:eastAsia="黑体" w:cs="黑体"/>
          <w:sz w:val="32"/>
          <w:szCs w:val="32"/>
          <w:u w:val="single"/>
        </w:rPr>
        <w:t xml:space="preserve">      10027万元               </w:t>
      </w:r>
    </w:p>
    <w:p>
      <w:pPr>
        <w:pStyle w:val="21"/>
        <w:ind w:firstLine="640"/>
        <w:rPr>
          <w:rFonts w:ascii="黑体" w:hAnsi="黑体" w:eastAsia="黑体" w:cs="黑体"/>
          <w:szCs w:val="32"/>
        </w:rPr>
      </w:pPr>
    </w:p>
    <w:p>
      <w:pPr>
        <w:spacing w:line="360" w:lineRule="auto"/>
        <w:ind w:left="1601" w:leftChars="610" w:hanging="320" w:hangingChars="100"/>
        <w:rPr>
          <w:rFonts w:ascii="黑体" w:hAnsi="黑体" w:eastAsia="黑体" w:cs="黑体"/>
          <w:sz w:val="32"/>
          <w:szCs w:val="32"/>
          <w:u w:val="single"/>
        </w:rPr>
      </w:pPr>
      <w:r>
        <w:rPr>
          <w:rFonts w:hint="eastAsia" w:ascii="黑体" w:hAnsi="黑体" w:eastAsia="黑体" w:cs="黑体"/>
          <w:sz w:val="32"/>
          <w:szCs w:val="32"/>
        </w:rPr>
        <w:t>评价机构：</w:t>
      </w:r>
      <w:r>
        <w:rPr>
          <w:rFonts w:hint="eastAsia" w:ascii="黑体" w:hAnsi="黑体" w:eastAsia="黑体" w:cs="黑体"/>
          <w:sz w:val="32"/>
          <w:szCs w:val="32"/>
          <w:u w:val="single"/>
        </w:rPr>
        <w:t xml:space="preserve">   泉州市启程财务咨询有限公司  </w:t>
      </w:r>
    </w:p>
    <w:p>
      <w:pPr>
        <w:pStyle w:val="21"/>
        <w:ind w:firstLine="640"/>
        <w:rPr>
          <w:rFonts w:ascii="黑体" w:hAnsi="黑体" w:eastAsia="黑体" w:cs="黑体"/>
          <w:szCs w:val="32"/>
        </w:rPr>
      </w:pPr>
    </w:p>
    <w:p>
      <w:pPr>
        <w:spacing w:line="360" w:lineRule="auto"/>
        <w:ind w:left="1601" w:leftChars="610" w:hanging="320" w:hangingChars="100"/>
        <w:rPr>
          <w:rFonts w:ascii="黑体" w:hAnsi="黑体" w:eastAsia="黑体" w:cs="黑体"/>
          <w:sz w:val="32"/>
          <w:szCs w:val="32"/>
          <w:u w:val="single"/>
        </w:rPr>
      </w:pPr>
      <w:r>
        <w:rPr>
          <w:rFonts w:hint="eastAsia" w:ascii="黑体" w:hAnsi="黑体" w:eastAsia="黑体" w:cs="黑体"/>
          <w:sz w:val="32"/>
          <w:szCs w:val="32"/>
        </w:rPr>
        <w:t>评价时间：</w:t>
      </w:r>
      <w:r>
        <w:rPr>
          <w:rFonts w:hint="eastAsia" w:ascii="黑体" w:hAnsi="黑体" w:eastAsia="黑体" w:cs="黑体"/>
          <w:sz w:val="32"/>
          <w:szCs w:val="32"/>
          <w:u w:val="single"/>
        </w:rPr>
        <w:t xml:space="preserve">       2023年10-11月          </w:t>
      </w:r>
    </w:p>
    <w:p>
      <w:pPr>
        <w:spacing w:line="360" w:lineRule="auto"/>
        <w:ind w:left="1600" w:hanging="1600" w:hangingChars="500"/>
        <w:rPr>
          <w:rFonts w:ascii="黑体" w:hAnsi="黑体" w:eastAsia="黑体" w:cs="黑体"/>
          <w:sz w:val="32"/>
          <w:szCs w:val="32"/>
          <w:u w:val="single"/>
        </w:rPr>
      </w:pPr>
    </w:p>
    <w:p>
      <w:pPr>
        <w:pStyle w:val="21"/>
        <w:ind w:firstLine="0" w:firstLineChars="0"/>
        <w:rPr>
          <w:rFonts w:ascii="黑体" w:hAnsi="黑体" w:eastAsia="黑体" w:cs="黑体"/>
          <w:szCs w:val="32"/>
        </w:rPr>
      </w:pPr>
    </w:p>
    <w:p>
      <w:pPr>
        <w:pStyle w:val="21"/>
        <w:ind w:firstLine="640"/>
        <w:rPr>
          <w:rFonts w:ascii="黑体" w:hAnsi="黑体" w:eastAsia="黑体" w:cs="黑体"/>
          <w:szCs w:val="32"/>
        </w:rPr>
      </w:pPr>
    </w:p>
    <w:p>
      <w:pPr>
        <w:pStyle w:val="10"/>
      </w:pPr>
    </w:p>
    <w:p>
      <w:pPr>
        <w:spacing w:line="360" w:lineRule="auto"/>
        <w:jc w:val="center"/>
        <w:rPr>
          <w:rFonts w:ascii="黑体" w:hAnsi="黑体" w:eastAsia="黑体" w:cs="黑体"/>
          <w:bCs/>
          <w:spacing w:val="4"/>
          <w:sz w:val="36"/>
          <w:szCs w:val="36"/>
        </w:rPr>
      </w:pPr>
      <w:r>
        <w:rPr>
          <w:rFonts w:hint="eastAsia" w:ascii="黑体" w:hAnsi="黑体" w:eastAsia="黑体" w:cs="黑体"/>
          <w:sz w:val="32"/>
          <w:szCs w:val="32"/>
        </w:rPr>
        <w:t>2023年</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25</w:t>
      </w:r>
      <w:r>
        <w:rPr>
          <w:rFonts w:hint="eastAsia" w:ascii="黑体" w:hAnsi="黑体" w:eastAsia="黑体" w:cs="黑体"/>
          <w:sz w:val="32"/>
          <w:szCs w:val="32"/>
        </w:rPr>
        <w:t>日</w:t>
      </w:r>
      <w:bookmarkStart w:id="4" w:name="_Toc2829"/>
      <w:bookmarkStart w:id="5" w:name="_Toc26626"/>
      <w:bookmarkStart w:id="6" w:name="_Toc25125"/>
      <w:bookmarkStart w:id="7" w:name="_Toc15898"/>
      <w:bookmarkStart w:id="8" w:name="_Toc12820"/>
    </w:p>
    <w:p>
      <w:pPr>
        <w:spacing w:line="760" w:lineRule="exact"/>
        <w:ind w:firstLine="2208" w:firstLineChars="600"/>
        <w:rPr>
          <w:rFonts w:ascii="黑体" w:hAnsi="黑体" w:eastAsia="黑体" w:cs="黑体"/>
          <w:bCs/>
          <w:spacing w:val="4"/>
          <w:sz w:val="36"/>
          <w:szCs w:val="36"/>
        </w:rPr>
        <w:sectPr>
          <w:pgSz w:w="11906" w:h="16838"/>
          <w:pgMar w:top="1440" w:right="1587" w:bottom="1440" w:left="1587" w:header="851" w:footer="992" w:gutter="0"/>
          <w:cols w:space="425" w:num="1"/>
          <w:docGrid w:type="lines" w:linePitch="312" w:charSpace="0"/>
        </w:sectPr>
      </w:pPr>
    </w:p>
    <w:p>
      <w:pPr>
        <w:spacing w:line="760" w:lineRule="exact"/>
        <w:rPr>
          <w:rFonts w:ascii="黑体" w:hAnsi="黑体" w:eastAsia="黑体" w:cs="黑体"/>
          <w:bCs/>
          <w:spacing w:val="4"/>
          <w:sz w:val="36"/>
          <w:szCs w:val="36"/>
        </w:rPr>
      </w:pPr>
    </w:p>
    <w:p>
      <w:pPr>
        <w:spacing w:line="760" w:lineRule="exact"/>
        <w:ind w:firstLine="2208" w:firstLineChars="600"/>
        <w:outlineLvl w:val="0"/>
        <w:rPr>
          <w:rFonts w:ascii="黑体" w:hAnsi="黑体" w:eastAsia="黑体" w:cs="黑体"/>
          <w:bCs/>
          <w:spacing w:val="4"/>
          <w:sz w:val="36"/>
          <w:szCs w:val="36"/>
        </w:rPr>
      </w:pPr>
      <w:bookmarkStart w:id="9" w:name="_Toc18158"/>
      <w:bookmarkStart w:id="10" w:name="_Toc17367"/>
      <w:bookmarkStart w:id="11" w:name="_Toc8133"/>
      <w:r>
        <w:rPr>
          <w:rFonts w:hint="eastAsia" w:ascii="黑体" w:hAnsi="黑体" w:eastAsia="黑体" w:cs="黑体"/>
          <w:bCs/>
          <w:spacing w:val="4"/>
          <w:sz w:val="36"/>
          <w:szCs w:val="36"/>
        </w:rPr>
        <w:t>绩效评价工作组人员名单</w:t>
      </w:r>
      <w:bookmarkEnd w:id="4"/>
      <w:bookmarkEnd w:id="5"/>
      <w:bookmarkEnd w:id="6"/>
      <w:bookmarkEnd w:id="7"/>
      <w:bookmarkEnd w:id="8"/>
      <w:bookmarkEnd w:id="9"/>
      <w:bookmarkEnd w:id="10"/>
      <w:bookmarkEnd w:id="11"/>
    </w:p>
    <w:tbl>
      <w:tblPr>
        <w:tblStyle w:val="18"/>
        <w:tblpPr w:leftFromText="180" w:rightFromText="180" w:vertAnchor="text" w:horzAnchor="page" w:tblpX="1436" w:tblpY="301"/>
        <w:tblOverlap w:val="never"/>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128"/>
        <w:gridCol w:w="2359"/>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b/>
                <w:bCs/>
                <w:spacing w:val="4"/>
                <w:sz w:val="32"/>
                <w:szCs w:val="32"/>
              </w:rPr>
            </w:pPr>
            <w:r>
              <w:rPr>
                <w:rFonts w:hint="eastAsia" w:ascii="仿宋" w:hAnsi="仿宋" w:eastAsia="仿宋" w:cs="仿宋"/>
                <w:b/>
                <w:bCs/>
                <w:spacing w:val="4"/>
                <w:sz w:val="32"/>
                <w:szCs w:val="32"/>
              </w:rPr>
              <w:t>序号</w:t>
            </w:r>
          </w:p>
        </w:tc>
        <w:tc>
          <w:tcPr>
            <w:tcW w:w="2128" w:type="dxa"/>
          </w:tcPr>
          <w:p>
            <w:pPr>
              <w:spacing w:line="760" w:lineRule="exact"/>
              <w:jc w:val="center"/>
              <w:rPr>
                <w:rFonts w:ascii="仿宋" w:hAnsi="仿宋" w:eastAsia="仿宋" w:cs="仿宋"/>
                <w:b/>
                <w:bCs/>
                <w:spacing w:val="4"/>
                <w:sz w:val="32"/>
                <w:szCs w:val="32"/>
              </w:rPr>
            </w:pPr>
            <w:r>
              <w:rPr>
                <w:rFonts w:hint="eastAsia" w:ascii="仿宋" w:hAnsi="仿宋" w:eastAsia="仿宋" w:cs="仿宋"/>
                <w:b/>
                <w:bCs/>
                <w:spacing w:val="4"/>
                <w:sz w:val="32"/>
                <w:szCs w:val="32"/>
              </w:rPr>
              <w:t>职务</w:t>
            </w:r>
          </w:p>
        </w:tc>
        <w:tc>
          <w:tcPr>
            <w:tcW w:w="2359" w:type="dxa"/>
          </w:tcPr>
          <w:p>
            <w:pPr>
              <w:spacing w:line="760" w:lineRule="exact"/>
              <w:jc w:val="center"/>
              <w:rPr>
                <w:rFonts w:ascii="仿宋" w:hAnsi="仿宋" w:eastAsia="仿宋" w:cs="仿宋"/>
                <w:b/>
                <w:bCs/>
                <w:spacing w:val="4"/>
                <w:sz w:val="32"/>
                <w:szCs w:val="32"/>
              </w:rPr>
            </w:pPr>
            <w:r>
              <w:rPr>
                <w:rFonts w:hint="eastAsia" w:ascii="仿宋" w:hAnsi="仿宋" w:eastAsia="仿宋" w:cs="仿宋"/>
                <w:b/>
                <w:bCs/>
                <w:spacing w:val="4"/>
                <w:sz w:val="32"/>
                <w:szCs w:val="32"/>
              </w:rPr>
              <w:t>姓名</w:t>
            </w:r>
          </w:p>
        </w:tc>
        <w:tc>
          <w:tcPr>
            <w:tcW w:w="2686" w:type="dxa"/>
          </w:tcPr>
          <w:p>
            <w:pPr>
              <w:spacing w:line="760" w:lineRule="exact"/>
              <w:jc w:val="center"/>
              <w:rPr>
                <w:rFonts w:ascii="仿宋" w:hAnsi="仿宋" w:eastAsia="仿宋" w:cs="仿宋"/>
                <w:b/>
                <w:bCs/>
                <w:spacing w:val="4"/>
                <w:sz w:val="32"/>
                <w:szCs w:val="32"/>
              </w:rPr>
            </w:pPr>
            <w:r>
              <w:rPr>
                <w:rFonts w:hint="eastAsia" w:ascii="仿宋" w:hAnsi="仿宋" w:eastAsia="仿宋" w:cs="仿宋"/>
                <w:b/>
                <w:bCs/>
                <w:spacing w:val="4"/>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组长</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徐本玉</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18606955277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2</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副组长</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卢婉芳</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15060965456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3</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组员</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陈晓彬</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15960567231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4</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组员</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刘凤阳</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13348313607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5</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组员</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李英</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19959520670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6</w:t>
            </w:r>
          </w:p>
        </w:tc>
        <w:tc>
          <w:tcPr>
            <w:tcW w:w="2128"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组员</w:t>
            </w:r>
          </w:p>
        </w:tc>
        <w:tc>
          <w:tcPr>
            <w:tcW w:w="2359"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施沛芸</w:t>
            </w:r>
          </w:p>
        </w:tc>
        <w:tc>
          <w:tcPr>
            <w:tcW w:w="2686" w:type="dxa"/>
          </w:tcPr>
          <w:p>
            <w:pPr>
              <w:spacing w:line="760" w:lineRule="exact"/>
              <w:jc w:val="center"/>
              <w:rPr>
                <w:rFonts w:ascii="仿宋" w:hAnsi="仿宋" w:eastAsia="仿宋" w:cs="仿宋"/>
                <w:spacing w:val="4"/>
                <w:sz w:val="32"/>
                <w:szCs w:val="32"/>
              </w:rPr>
            </w:pPr>
            <w:r>
              <w:rPr>
                <w:rFonts w:hint="eastAsia" w:ascii="仿宋" w:hAnsi="仿宋" w:eastAsia="仿宋" w:cs="仿宋"/>
                <w:spacing w:val="4"/>
                <w:sz w:val="32"/>
                <w:szCs w:val="32"/>
              </w:rPr>
              <w:t>13960474685</w:t>
            </w:r>
          </w:p>
        </w:tc>
      </w:tr>
    </w:tbl>
    <w:p>
      <w:pPr>
        <w:pStyle w:val="10"/>
      </w:pPr>
    </w:p>
    <w:p>
      <w:pPr>
        <w:spacing w:line="360" w:lineRule="auto"/>
        <w:jc w:val="center"/>
        <w:rPr>
          <w:rFonts w:ascii="黑体" w:hAnsi="黑体" w:eastAsia="黑体" w:cs="Times New Roman"/>
          <w:sz w:val="44"/>
          <w:szCs w:val="44"/>
        </w:rPr>
      </w:pPr>
    </w:p>
    <w:p>
      <w:pPr>
        <w:pStyle w:val="10"/>
        <w:rPr>
          <w:rFonts w:ascii="黑体" w:hAnsi="黑体" w:eastAsia="黑体" w:cs="Times New Roman"/>
          <w:sz w:val="44"/>
          <w:szCs w:val="44"/>
        </w:rPr>
      </w:pPr>
    </w:p>
    <w:p>
      <w:pPr>
        <w:pStyle w:val="23"/>
        <w:rPr>
          <w:rFonts w:ascii="黑体" w:hAnsi="黑体" w:eastAsia="黑体"/>
          <w:sz w:val="44"/>
          <w:szCs w:val="44"/>
        </w:rPr>
      </w:pPr>
    </w:p>
    <w:p>
      <w:pPr>
        <w:rPr>
          <w:rFonts w:ascii="黑体" w:hAnsi="黑体" w:eastAsia="黑体" w:cs="Times New Roman"/>
          <w:sz w:val="44"/>
          <w:szCs w:val="44"/>
        </w:rPr>
      </w:pPr>
    </w:p>
    <w:p>
      <w:pPr>
        <w:pStyle w:val="10"/>
        <w:rPr>
          <w:rFonts w:ascii="黑体" w:hAnsi="黑体" w:eastAsia="黑体" w:cs="Times New Roman"/>
          <w:sz w:val="44"/>
          <w:szCs w:val="44"/>
        </w:rPr>
      </w:pPr>
    </w:p>
    <w:p>
      <w:pPr>
        <w:pStyle w:val="23"/>
        <w:rPr>
          <w:rFonts w:ascii="黑体" w:hAnsi="黑体" w:eastAsia="黑体"/>
          <w:sz w:val="44"/>
          <w:szCs w:val="44"/>
        </w:rPr>
      </w:pPr>
    </w:p>
    <w:p>
      <w:pPr>
        <w:rPr>
          <w:rFonts w:ascii="黑体" w:hAnsi="黑体" w:eastAsia="黑体" w:cs="Times New Roman"/>
          <w:sz w:val="44"/>
          <w:szCs w:val="44"/>
        </w:rPr>
      </w:pPr>
    </w:p>
    <w:p>
      <w:pPr>
        <w:pStyle w:val="10"/>
      </w:pPr>
    </w:p>
    <w:p/>
    <w:p>
      <w:pPr>
        <w:pStyle w:val="10"/>
      </w:pPr>
    </w:p>
    <w:p/>
    <w:p>
      <w:pPr>
        <w:tabs>
          <w:tab w:val="right" w:leader="dot" w:pos="8447"/>
        </w:tabs>
        <w:spacing w:line="400" w:lineRule="atLeast"/>
        <w:rPr>
          <w:rFonts w:ascii="宋体" w:hAnsi="宋体" w:eastAsia="宋体" w:cs="宋体"/>
          <w:b/>
          <w:bCs/>
          <w:sz w:val="32"/>
          <w:szCs w:val="32"/>
          <w:lang w:val="zh-CN"/>
        </w:rPr>
        <w:sectPr>
          <w:footerReference r:id="rId3" w:type="default"/>
          <w:pgSz w:w="11906" w:h="16838"/>
          <w:pgMar w:top="1440" w:right="1587" w:bottom="1440" w:left="1587" w:header="851" w:footer="992" w:gutter="0"/>
          <w:pgNumType w:start="1"/>
          <w:cols w:space="425" w:num="1"/>
          <w:docGrid w:type="lines" w:linePitch="312" w:charSpace="0"/>
        </w:sectPr>
      </w:pPr>
    </w:p>
    <w:p>
      <w:pPr>
        <w:tabs>
          <w:tab w:val="right" w:leader="dot" w:pos="8447"/>
        </w:tabs>
        <w:spacing w:before="480" w:after="120"/>
        <w:jc w:val="center"/>
        <w:outlineLvl w:val="0"/>
        <w:rPr>
          <w:rFonts w:ascii="宋体" w:hAnsi="宋体" w:eastAsia="宋体" w:cs="宋体"/>
          <w:bCs/>
          <w:sz w:val="40"/>
          <w:szCs w:val="32"/>
          <w:lang w:val="zh-CN"/>
        </w:rPr>
      </w:pPr>
      <w:bookmarkStart w:id="12" w:name="_Toc13721"/>
      <w:bookmarkStart w:id="13" w:name="_Toc18410"/>
      <w:bookmarkStart w:id="14" w:name="_Toc17740"/>
      <w:r>
        <w:rPr>
          <w:rFonts w:hint="eastAsia" w:ascii="宋体" w:hAnsi="宋体" w:eastAsia="宋体" w:cs="宋体"/>
          <w:bCs/>
          <w:sz w:val="40"/>
          <w:szCs w:val="32"/>
          <w:lang w:val="zh-CN"/>
        </w:rPr>
        <w:t>目</w:t>
      </w:r>
      <w:r>
        <w:rPr>
          <w:rFonts w:hint="eastAsia" w:ascii="宋体" w:hAnsi="宋体" w:eastAsia="宋体" w:cs="宋体"/>
          <w:bCs/>
          <w:sz w:val="40"/>
          <w:szCs w:val="32"/>
        </w:rPr>
        <w:t xml:space="preserve"> </w:t>
      </w:r>
      <w:r>
        <w:rPr>
          <w:rFonts w:hint="eastAsia" w:ascii="宋体" w:hAnsi="宋体" w:eastAsia="宋体" w:cs="宋体"/>
          <w:bCs/>
          <w:sz w:val="40"/>
          <w:szCs w:val="32"/>
          <w:lang w:val="zh-CN"/>
        </w:rPr>
        <w:t>录</w:t>
      </w:r>
      <w:bookmarkEnd w:id="0"/>
      <w:bookmarkEnd w:id="1"/>
      <w:bookmarkEnd w:id="2"/>
      <w:bookmarkEnd w:id="3"/>
      <w:bookmarkEnd w:id="12"/>
      <w:bookmarkEnd w:id="13"/>
      <w:bookmarkEnd w:id="14"/>
    </w:p>
    <w:sdt>
      <w:sdtPr>
        <w:rPr>
          <w:rFonts w:ascii="宋体" w:hAnsi="宋体" w:eastAsia="宋体" w:cstheme="minorBidi"/>
          <w:kern w:val="2"/>
          <w:sz w:val="21"/>
          <w:szCs w:val="24"/>
          <w:lang w:val="en-US" w:eastAsia="zh-CN" w:bidi="ar-SA"/>
        </w:rPr>
        <w:id w:val="147463876"/>
        <w15:color w:val="DBDBDB"/>
        <w:docPartObj>
          <w:docPartGallery w:val="Table of Contents"/>
          <w:docPartUnique/>
        </w:docPartObj>
      </w:sdtPr>
      <w:sdtEndPr>
        <w:rPr>
          <w:rFonts w:hint="eastAsia" w:ascii="宋体" w:hAnsi="宋体" w:eastAsia="宋体" w:cs="宋体"/>
          <w:bCs/>
          <w:kern w:val="0"/>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kern w:val="0"/>
              <w:sz w:val="24"/>
              <w:szCs w:val="24"/>
            </w:rPr>
            <w:fldChar w:fldCharType="begin"/>
          </w:r>
          <w:r>
            <w:rPr>
              <w:rFonts w:hint="eastAsia" w:ascii="宋体" w:hAnsi="宋体" w:eastAsia="宋体" w:cs="宋体"/>
              <w:b/>
              <w:bCs/>
              <w:kern w:val="0"/>
              <w:sz w:val="24"/>
              <w:szCs w:val="24"/>
            </w:rPr>
            <w:instrText xml:space="preserve">TOC \o "1-3" \h \u </w:instrText>
          </w:r>
          <w:r>
            <w:rPr>
              <w:rFonts w:hint="eastAsia" w:ascii="宋体" w:hAnsi="宋体" w:eastAsia="宋体" w:cs="宋体"/>
              <w:b/>
              <w:bCs/>
              <w:kern w:val="0"/>
              <w:sz w:val="24"/>
              <w:szCs w:val="24"/>
            </w:rPr>
            <w:fldChar w:fldCharType="separate"/>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_Toc3353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rPr>
            <w:t>一、 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_Toc3353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_Toc20517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rPr>
            <w:t>（一）项目背景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_Toc20517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_Toc8727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二）项目基本概况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_Toc8727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_Toc7669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rPr>
            <w:t>（三）资金投入和使用情况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_Toc7669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_Toc19566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rPr>
            <w:t>1.疫情防控资金到位情况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_Toc19566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_Toc13624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rPr>
            <w:t>2. 疫情防控资金支出情况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_Toc13624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_Toc13190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（三）项目绩效目标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_Toc13190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_Toc9921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总体目标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_Toc9921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_Toc7712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rPr>
            <w:t>2</w:t>
          </w:r>
          <w:r>
            <w:rPr>
              <w:rFonts w:hint="eastAsia" w:ascii="宋体" w:hAnsi="宋体" w:cs="宋体"/>
              <w:kern w:val="0"/>
              <w:sz w:val="24"/>
              <w:szCs w:val="24"/>
              <w:lang w:val="en-US" w:eastAsia="zh-CN"/>
            </w:rPr>
            <w:t>.</w:t>
          </w:r>
          <w:r>
            <w:rPr>
              <w:rFonts w:hint="eastAsia" w:ascii="宋体" w:hAnsi="宋体" w:eastAsia="宋体" w:cs="宋体"/>
              <w:kern w:val="0"/>
              <w:sz w:val="24"/>
              <w:szCs w:val="24"/>
            </w:rPr>
            <w:t>年度绩效目标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_Toc7712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_Toc14558 </w:instrText>
          </w:r>
          <w:r>
            <w:rPr>
              <w:rFonts w:hint="eastAsia" w:ascii="宋体" w:hAnsi="宋体" w:eastAsia="宋体" w:cs="宋体"/>
              <w:bCs/>
              <w:kern w:val="0"/>
              <w:sz w:val="24"/>
              <w:szCs w:val="24"/>
            </w:rPr>
            <w:fldChar w:fldCharType="separate"/>
          </w:r>
          <w:r>
            <w:rPr>
              <w:rFonts w:hint="eastAsia" w:ascii="宋体" w:hAnsi="宋体" w:eastAsia="宋体" w:cs="宋体"/>
              <w:bCs/>
              <w:spacing w:val="-3"/>
              <w:kern w:val="2"/>
              <w:sz w:val="24"/>
              <w:szCs w:val="24"/>
            </w:rPr>
            <w:t>三、绩效评价指标体系构建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_Toc14558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_Toc28958 </w:instrText>
          </w:r>
          <w:r>
            <w:rPr>
              <w:rFonts w:hint="eastAsia" w:ascii="宋体" w:hAnsi="宋体" w:eastAsia="宋体" w:cs="宋体"/>
              <w:bCs/>
              <w:kern w:val="0"/>
              <w:sz w:val="24"/>
              <w:szCs w:val="24"/>
            </w:rPr>
            <w:fldChar w:fldCharType="separate"/>
          </w:r>
          <w:r>
            <w:rPr>
              <w:rFonts w:hint="eastAsia" w:ascii="宋体" w:hAnsi="宋体" w:eastAsia="宋体" w:cs="宋体"/>
              <w:bCs/>
              <w:spacing w:val="-3"/>
              <w:sz w:val="24"/>
              <w:szCs w:val="24"/>
            </w:rPr>
            <w:t>（一）绩效评价依据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_Toc28958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_Toc32610 </w:instrText>
          </w:r>
          <w:r>
            <w:rPr>
              <w:rFonts w:hint="eastAsia" w:ascii="宋体" w:hAnsi="宋体" w:eastAsia="宋体" w:cs="宋体"/>
              <w:bCs/>
              <w:kern w:val="0"/>
              <w:sz w:val="24"/>
              <w:szCs w:val="24"/>
            </w:rPr>
            <w:fldChar w:fldCharType="separate"/>
          </w:r>
          <w:r>
            <w:rPr>
              <w:rFonts w:hint="eastAsia" w:ascii="宋体" w:hAnsi="宋体" w:eastAsia="宋体" w:cs="宋体"/>
              <w:bCs/>
              <w:spacing w:val="-3"/>
              <w:sz w:val="24"/>
              <w:szCs w:val="24"/>
            </w:rPr>
            <w:t>（二）绩效评价原则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_Toc32610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_Toc32316 </w:instrText>
          </w:r>
          <w:r>
            <w:rPr>
              <w:rFonts w:hint="eastAsia" w:ascii="宋体" w:hAnsi="宋体" w:eastAsia="宋体" w:cs="宋体"/>
              <w:bCs/>
              <w:kern w:val="0"/>
              <w:sz w:val="24"/>
              <w:szCs w:val="24"/>
            </w:rPr>
            <w:fldChar w:fldCharType="separate"/>
          </w:r>
          <w:r>
            <w:rPr>
              <w:rFonts w:hint="eastAsia" w:ascii="宋体" w:hAnsi="宋体" w:eastAsia="宋体" w:cs="宋体"/>
              <w:bCs/>
              <w:spacing w:val="-3"/>
              <w:sz w:val="24"/>
              <w:szCs w:val="24"/>
            </w:rPr>
            <w:t>（三）绩效评价目的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_Toc32316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_Toc22704 </w:instrText>
          </w:r>
          <w:r>
            <w:rPr>
              <w:rFonts w:hint="eastAsia" w:ascii="宋体" w:hAnsi="宋体" w:eastAsia="宋体" w:cs="宋体"/>
              <w:bCs/>
              <w:kern w:val="0"/>
              <w:sz w:val="24"/>
              <w:szCs w:val="24"/>
            </w:rPr>
            <w:fldChar w:fldCharType="separate"/>
          </w:r>
          <w:r>
            <w:rPr>
              <w:rFonts w:hint="eastAsia" w:ascii="宋体" w:hAnsi="宋体" w:eastAsia="宋体" w:cs="宋体"/>
              <w:bCs/>
              <w:spacing w:val="-3"/>
              <w:sz w:val="24"/>
              <w:szCs w:val="24"/>
            </w:rPr>
            <w:t>（四）绩效评价方法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_Toc22704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_Toc2170 </w:instrText>
          </w:r>
          <w:r>
            <w:rPr>
              <w:rFonts w:hint="eastAsia" w:ascii="宋体" w:hAnsi="宋体" w:eastAsia="宋体" w:cs="宋体"/>
              <w:bCs/>
              <w:kern w:val="0"/>
              <w:sz w:val="24"/>
              <w:szCs w:val="24"/>
            </w:rPr>
            <w:fldChar w:fldCharType="separate"/>
          </w:r>
          <w:r>
            <w:rPr>
              <w:rFonts w:hint="eastAsia" w:ascii="宋体" w:hAnsi="宋体" w:eastAsia="宋体" w:cs="宋体"/>
              <w:bCs/>
              <w:spacing w:val="-3"/>
              <w:sz w:val="24"/>
              <w:szCs w:val="24"/>
            </w:rPr>
            <w:t>（五）绩效评价过程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_Toc32499 </w:instrText>
          </w:r>
          <w:r>
            <w:rPr>
              <w:rFonts w:hint="eastAsia" w:ascii="宋体" w:hAnsi="宋体" w:eastAsia="宋体" w:cs="宋体"/>
              <w:bCs/>
              <w:kern w:val="0"/>
              <w:sz w:val="24"/>
              <w:szCs w:val="24"/>
            </w:rPr>
            <w:fldChar w:fldCharType="separate"/>
          </w:r>
          <w:r>
            <w:rPr>
              <w:rFonts w:hint="eastAsia" w:ascii="宋体" w:hAnsi="宋体" w:eastAsia="宋体" w:cs="宋体"/>
              <w:bCs/>
              <w:spacing w:val="-3"/>
              <w:sz w:val="24"/>
              <w:szCs w:val="24"/>
            </w:rPr>
            <w:t>（六）绩效评价指标体系及评分标准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_Toc32499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_Toc7749 </w:instrText>
          </w:r>
          <w:r>
            <w:rPr>
              <w:rFonts w:hint="eastAsia" w:ascii="宋体" w:hAnsi="宋体" w:eastAsia="宋体" w:cs="宋体"/>
              <w:bCs/>
              <w:kern w:val="0"/>
              <w:sz w:val="24"/>
              <w:szCs w:val="24"/>
            </w:rPr>
            <w:fldChar w:fldCharType="separate"/>
          </w:r>
          <w:r>
            <w:rPr>
              <w:rFonts w:hint="eastAsia" w:ascii="宋体" w:hAnsi="宋体" w:eastAsia="宋体" w:cs="宋体"/>
              <w:bCs/>
              <w:spacing w:val="4"/>
              <w:sz w:val="24"/>
              <w:szCs w:val="24"/>
            </w:rPr>
            <w:t>2022年度德化县疫情防控资金专项资金绩效评价指标及评价标准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_Toc7749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_Toc27662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四、绩效评价分析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_Toc27662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_Toc8791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bCs/>
              <w:sz w:val="24"/>
              <w:szCs w:val="24"/>
            </w:rPr>
            <w:t>投入指标（分值为15分，得分14分）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_Toc8791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_Toc23165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1.项目立项（分值4分）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_Toc23165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_Toc13118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2.绩效目标（分值6分）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_Toc13118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_Toc11984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3.资金投入（分值5分）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_Toc11984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_Toc20044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（二）过程指标（分值为20分，得1</w:t>
          </w:r>
          <w:r>
            <w:rPr>
              <w:rFonts w:hint="eastAsia" w:ascii="宋体" w:hAnsi="宋体" w:cs="宋体"/>
              <w:bCs/>
              <w:sz w:val="24"/>
              <w:szCs w:val="24"/>
              <w:lang w:val="en-US" w:eastAsia="zh-CN"/>
            </w:rPr>
            <w:t>6</w:t>
          </w:r>
          <w:r>
            <w:rPr>
              <w:rFonts w:hint="eastAsia" w:ascii="宋体" w:hAnsi="宋体" w:eastAsia="宋体" w:cs="宋体"/>
              <w:bCs/>
              <w:sz w:val="24"/>
              <w:szCs w:val="24"/>
            </w:rPr>
            <w:t>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_Toc20044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_Toc3638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1.资金管理（分值6分）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_Toc3638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_Toc29244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2.组织实施（分值9分）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_Toc29244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_Toc13580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3.绩效管理（分值</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_Toc13580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_Toc22054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（三）产出（分值为</w:t>
          </w:r>
          <w:r>
            <w:rPr>
              <w:rFonts w:hint="eastAsia" w:ascii="宋体" w:hAnsi="宋体" w:eastAsia="宋体" w:cs="宋体"/>
              <w:bCs/>
              <w:sz w:val="24"/>
              <w:szCs w:val="24"/>
              <w:lang w:val="en-US" w:eastAsia="zh-CN"/>
            </w:rPr>
            <w:t>35</w:t>
          </w:r>
          <w:r>
            <w:rPr>
              <w:rFonts w:hint="eastAsia" w:ascii="宋体" w:hAnsi="宋体" w:eastAsia="宋体" w:cs="宋体"/>
              <w:bCs/>
              <w:sz w:val="24"/>
              <w:szCs w:val="24"/>
            </w:rPr>
            <w:t>，得分</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_Toc22054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_Toc16207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1.产出数量（分值15分）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_Toc16207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_Toc30931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2.产出质量（分值12分）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_Toc30931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_Toc21435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3.产出时效（分值4分）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_Toc21435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_Toc6455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4.产出成本（分值4分）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_Toc6455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_Toc30463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（四）效益指标（分值为30分，得分2</w:t>
          </w:r>
          <w:r>
            <w:rPr>
              <w:rFonts w:hint="eastAsia" w:ascii="宋体" w:hAnsi="宋体" w:cs="宋体"/>
              <w:bCs/>
              <w:sz w:val="24"/>
              <w:szCs w:val="24"/>
              <w:lang w:val="en-US" w:eastAsia="zh-CN"/>
            </w:rPr>
            <w:t>6</w:t>
          </w:r>
          <w:r>
            <w:rPr>
              <w:rFonts w:hint="eastAsia" w:ascii="宋体" w:hAnsi="宋体" w:eastAsia="宋体" w:cs="宋体"/>
              <w:bCs/>
              <w:sz w:val="24"/>
              <w:szCs w:val="24"/>
            </w:rPr>
            <w:t>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_Toc30463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_Toc31198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1.经济效益（分值8分）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_Toc31198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_Toc14723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2.社会效益（分值4分）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_Toc14723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_Toc3474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3.生态效益（分值4分）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_Toc3474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_Toc14895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4.可持续影响（分值8分）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_Toc14895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2"/>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_Toc20351 </w:instrText>
          </w:r>
          <w:r>
            <w:rPr>
              <w:rFonts w:hint="eastAsia" w:ascii="宋体" w:hAnsi="宋体" w:eastAsia="宋体" w:cs="宋体"/>
              <w:bCs/>
              <w:kern w:val="0"/>
              <w:sz w:val="24"/>
              <w:szCs w:val="24"/>
            </w:rPr>
            <w:fldChar w:fldCharType="separate"/>
          </w: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群众满意度（分值6 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_Toc20351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_Toc18441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五、评价结论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_Toc18441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_Toc19772 </w:instrText>
          </w:r>
          <w:r>
            <w:rPr>
              <w:rFonts w:hint="eastAsia" w:ascii="宋体" w:hAnsi="宋体" w:eastAsia="宋体" w:cs="宋体"/>
              <w:bCs/>
              <w:kern w:val="0"/>
              <w:sz w:val="24"/>
              <w:szCs w:val="24"/>
            </w:rPr>
            <w:fldChar w:fldCharType="separate"/>
          </w:r>
          <w:r>
            <w:rPr>
              <w:rFonts w:hint="eastAsia" w:ascii="宋体" w:hAnsi="宋体" w:eastAsia="宋体" w:cs="宋体"/>
              <w:bCs/>
              <w:kern w:val="0"/>
              <w:sz w:val="24"/>
              <w:szCs w:val="24"/>
              <w:lang w:val="en-US" w:eastAsia="zh-CN" w:bidi="ar"/>
            </w:rPr>
            <w:t>六、存在问题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_Toc19772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_Toc13279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一）项目实施过程制度</w:t>
          </w:r>
          <w:r>
            <w:rPr>
              <w:rFonts w:hint="eastAsia" w:ascii="宋体" w:hAnsi="宋体" w:eastAsia="宋体" w:cs="宋体"/>
              <w:sz w:val="24"/>
              <w:szCs w:val="24"/>
            </w:rPr>
            <w:t>执行不到位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_Toc13279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_Toc2500 </w:instrText>
          </w:r>
          <w:r>
            <w:rPr>
              <w:rFonts w:hint="eastAsia" w:ascii="宋体" w:hAnsi="宋体" w:eastAsia="宋体" w:cs="宋体"/>
              <w:bCs/>
              <w:kern w:val="0"/>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审批申请流程有待提高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_Toc2500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_Toc14762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lang w:val="en-US" w:eastAsia="zh-CN"/>
            </w:rPr>
            <w:t>七、提出建议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_Toc14762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_Toc23777 </w:instrText>
          </w:r>
          <w:r>
            <w:rPr>
              <w:rFonts w:hint="eastAsia" w:ascii="宋体" w:hAnsi="宋体" w:eastAsia="宋体" w:cs="宋体"/>
              <w:bCs/>
              <w:kern w:val="0"/>
              <w:sz w:val="24"/>
              <w:szCs w:val="24"/>
            </w:rPr>
            <w:fldChar w:fldCharType="separate"/>
          </w:r>
          <w:r>
            <w:rPr>
              <w:rFonts w:hint="eastAsia" w:ascii="宋体" w:hAnsi="宋体" w:eastAsia="宋体" w:cs="宋体"/>
              <w:bCs w:val="0"/>
              <w:sz w:val="24"/>
              <w:szCs w:val="24"/>
              <w:lang w:val="en-US" w:eastAsia="zh-CN"/>
            </w:rPr>
            <w:t>（一）</w:t>
          </w:r>
          <w:r>
            <w:rPr>
              <w:rFonts w:hint="eastAsia" w:ascii="宋体" w:hAnsi="宋体" w:eastAsia="宋体" w:cs="宋体"/>
              <w:bCs w:val="0"/>
              <w:sz w:val="24"/>
              <w:szCs w:val="24"/>
            </w:rPr>
            <w:t>加强项目组织管理，提升制度执行有效性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_Toc23777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1"/>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_Toc21180 </w:instrText>
          </w:r>
          <w:r>
            <w:rPr>
              <w:rFonts w:hint="eastAsia" w:ascii="宋体" w:hAnsi="宋体" w:eastAsia="宋体" w:cs="宋体"/>
              <w:bCs/>
              <w:kern w:val="0"/>
              <w:sz w:val="24"/>
              <w:szCs w:val="24"/>
            </w:rPr>
            <w:fldChar w:fldCharType="separate"/>
          </w:r>
          <w:r>
            <w:rPr>
              <w:rFonts w:hint="eastAsia" w:ascii="宋体" w:hAnsi="宋体" w:eastAsia="宋体" w:cs="宋体"/>
              <w:bCs w:val="0"/>
              <w:kern w:val="0"/>
              <w:sz w:val="24"/>
              <w:szCs w:val="24"/>
              <w:lang w:val="zh-TW" w:eastAsia="zh-CN" w:bidi="ar-SA"/>
            </w:rPr>
            <w:t>（</w:t>
          </w:r>
          <w:r>
            <w:rPr>
              <w:rFonts w:hint="eastAsia" w:ascii="宋体" w:hAnsi="宋体" w:eastAsia="宋体" w:cs="宋体"/>
              <w:bCs w:val="0"/>
              <w:kern w:val="0"/>
              <w:sz w:val="24"/>
              <w:szCs w:val="24"/>
              <w:lang w:val="en-US" w:eastAsia="zh-CN" w:bidi="ar-SA"/>
            </w:rPr>
            <w:t>二）</w:t>
          </w:r>
          <w:r>
            <w:rPr>
              <w:rFonts w:hint="eastAsia" w:ascii="宋体" w:hAnsi="宋体" w:eastAsia="宋体" w:cs="宋体"/>
              <w:bCs w:val="0"/>
              <w:kern w:val="0"/>
              <w:sz w:val="24"/>
              <w:szCs w:val="24"/>
              <w:lang w:val="zh-TW" w:eastAsia="zh-CN" w:bidi="ar-SA"/>
            </w:rPr>
            <w:t>健全内控管理制度，提高资金</w:t>
          </w:r>
          <w:r>
            <w:rPr>
              <w:rFonts w:hint="eastAsia" w:ascii="宋体" w:hAnsi="宋体" w:eastAsia="宋体" w:cs="宋体"/>
              <w:bCs w:val="0"/>
              <w:kern w:val="0"/>
              <w:sz w:val="24"/>
              <w:szCs w:val="24"/>
              <w:lang w:val="en-US" w:eastAsia="zh-CN" w:bidi="ar-SA"/>
            </w:rPr>
            <w:t>审批</w:t>
          </w:r>
          <w:r>
            <w:rPr>
              <w:rFonts w:hint="eastAsia" w:ascii="宋体" w:hAnsi="宋体" w:eastAsia="宋体" w:cs="宋体"/>
              <w:bCs w:val="0"/>
              <w:kern w:val="0"/>
              <w:sz w:val="24"/>
              <w:szCs w:val="24"/>
              <w:lang w:val="zh-TW" w:eastAsia="zh-CN" w:bidi="ar-SA"/>
            </w:rPr>
            <w:t>管理水平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_Toc21180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_Toc6879 </w:instrText>
          </w:r>
          <w:r>
            <w:rPr>
              <w:rFonts w:hint="eastAsia" w:ascii="宋体" w:hAnsi="宋体" w:eastAsia="宋体" w:cs="宋体"/>
              <w:bCs/>
              <w:kern w:val="0"/>
              <w:sz w:val="24"/>
              <w:szCs w:val="24"/>
            </w:rPr>
            <w:fldChar w:fldCharType="separate"/>
          </w:r>
          <w:r>
            <w:rPr>
              <w:rFonts w:hint="eastAsia" w:ascii="宋体" w:hAnsi="宋体" w:eastAsia="宋体" w:cs="宋体"/>
              <w:spacing w:val="4"/>
              <w:kern w:val="2"/>
              <w:sz w:val="24"/>
              <w:szCs w:val="24"/>
              <w:highlight w:val="none"/>
              <w:lang w:val="en-US" w:eastAsia="zh-CN"/>
            </w:rPr>
            <w:t>八、</w:t>
          </w:r>
          <w:r>
            <w:rPr>
              <w:rFonts w:hint="eastAsia" w:ascii="宋体" w:hAnsi="宋体" w:eastAsia="宋体" w:cs="宋体"/>
              <w:spacing w:val="4"/>
              <w:kern w:val="2"/>
              <w:sz w:val="24"/>
              <w:szCs w:val="24"/>
              <w:highlight w:val="none"/>
            </w:rPr>
            <w:t>其他需要说明的问题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_Toc6879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kern w:val="0"/>
              <w:sz w:val="24"/>
              <w:szCs w:val="24"/>
            </w:rPr>
            <w:fldChar w:fldCharType="begin"/>
          </w:r>
          <w:r>
            <w:rPr>
              <w:rFonts w:hint="eastAsia" w:ascii="宋体" w:hAnsi="宋体" w:eastAsia="宋体" w:cs="宋体"/>
              <w:bCs/>
              <w:kern w:val="0"/>
              <w:sz w:val="24"/>
              <w:szCs w:val="24"/>
            </w:rPr>
            <w:instrText xml:space="preserve"> HYPERLINK \l _Toc10467 </w:instrText>
          </w:r>
          <w:r>
            <w:rPr>
              <w:rFonts w:hint="eastAsia" w:ascii="宋体" w:hAnsi="宋体" w:eastAsia="宋体" w:cs="宋体"/>
              <w:bCs/>
              <w:kern w:val="0"/>
              <w:sz w:val="24"/>
              <w:szCs w:val="24"/>
            </w:rPr>
            <w:fldChar w:fldCharType="separate"/>
          </w:r>
          <w:r>
            <w:rPr>
              <w:rFonts w:hint="eastAsia" w:ascii="宋体" w:hAnsi="宋体" w:eastAsia="宋体" w:cs="宋体"/>
              <w:bCs/>
              <w:sz w:val="24"/>
              <w:szCs w:val="24"/>
            </w:rPr>
            <w:t>2022年度德化县疫情防控资金</w:t>
          </w:r>
          <w:r>
            <w:rPr>
              <w:rFonts w:hint="eastAsia" w:ascii="宋体" w:hAnsi="宋体" w:eastAsia="宋体" w:cs="宋体"/>
              <w:kern w:val="44"/>
              <w:sz w:val="24"/>
              <w:szCs w:val="24"/>
            </w:rPr>
            <w:t>满意度调查问卷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_Toc10467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kern w:val="0"/>
              <w:sz w:val="24"/>
              <w:szCs w:val="24"/>
            </w:rPr>
            <w:fldChar w:fldCharType="end"/>
          </w:r>
        </w:p>
        <w:p>
          <w:pPr>
            <w:pStyle w:val="30"/>
            <w:keepNext w:val="0"/>
            <w:keepLines w:val="0"/>
            <w:pageBreakBefore w:val="0"/>
            <w:tabs>
              <w:tab w:val="right" w:leader="dot" w:pos="873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b/>
              <w:bCs/>
              <w:kern w:val="0"/>
              <w:sz w:val="21"/>
              <w:szCs w:val="21"/>
            </w:rPr>
          </w:pPr>
          <w:r>
            <w:rPr>
              <w:rFonts w:hint="eastAsia" w:ascii="宋体" w:hAnsi="宋体" w:eastAsia="宋体" w:cs="宋体"/>
              <w:bCs/>
              <w:kern w:val="0"/>
              <w:sz w:val="24"/>
              <w:szCs w:val="24"/>
            </w:rPr>
            <w:fldChar w:fldCharType="end"/>
          </w:r>
        </w:p>
      </w:sdtContent>
    </w:sdt>
    <w:p>
      <w:pPr>
        <w:keepNext w:val="0"/>
        <w:keepLines w:val="0"/>
        <w:pageBreakBefore w:val="0"/>
        <w:kinsoku/>
        <w:wordWrap/>
        <w:overflowPunct/>
        <w:topLinePunct w:val="0"/>
        <w:autoSpaceDE/>
        <w:autoSpaceDN/>
        <w:bidi w:val="0"/>
        <w:adjustRightInd/>
        <w:snapToGrid/>
        <w:spacing w:line="360" w:lineRule="auto"/>
        <w:ind w:firstLine="422" w:firstLineChars="200"/>
        <w:jc w:val="center"/>
        <w:textAlignment w:val="auto"/>
        <w:outlineLvl w:val="9"/>
        <w:rPr>
          <w:rFonts w:hint="eastAsia" w:ascii="宋体" w:hAnsi="宋体" w:eastAsia="宋体" w:cs="宋体"/>
          <w:b/>
          <w:bCs/>
          <w:kern w:val="0"/>
          <w:sz w:val="21"/>
          <w:szCs w:val="21"/>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kern w:val="0"/>
          <w:sz w:val="21"/>
          <w:szCs w:val="21"/>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kern w:val="0"/>
          <w:sz w:val="21"/>
          <w:szCs w:val="21"/>
        </w:rPr>
        <w:sectPr>
          <w:footerReference r:id="rId4" w:type="default"/>
          <w:pgSz w:w="11906" w:h="16838"/>
          <w:pgMar w:top="1440" w:right="1587" w:bottom="1440" w:left="1587" w:header="851" w:footer="992" w:gutter="0"/>
          <w:pgNumType w:start="1"/>
          <w:cols w:space="425" w:num="1"/>
          <w:docGrid w:type="lines" w:linePitch="312" w:charSpace="0"/>
        </w:sectPr>
      </w:pPr>
    </w:p>
    <w:p>
      <w:pPr>
        <w:spacing w:line="360" w:lineRule="auto"/>
        <w:ind w:firstLine="562" w:firstLineChars="200"/>
        <w:jc w:val="center"/>
        <w:outlineLvl w:val="0"/>
        <w:rPr>
          <w:rFonts w:ascii="Times New Roman" w:eastAsia="宋体"/>
          <w:sz w:val="28"/>
        </w:rPr>
      </w:pPr>
      <w:bookmarkStart w:id="15" w:name="_Toc8659"/>
      <w:bookmarkStart w:id="16" w:name="_Toc19274"/>
      <w:r>
        <w:rPr>
          <w:rFonts w:hint="eastAsia" w:ascii="Times New Roman" w:eastAsia="宋体" w:hAnsiTheme="minorEastAsia" w:cstheme="minorEastAsia"/>
          <w:b/>
          <w:bCs/>
          <w:kern w:val="0"/>
          <w:sz w:val="28"/>
          <w:szCs w:val="32"/>
        </w:rPr>
        <w:t>2022年度德化县疫情防控资金绩效评价报告</w:t>
      </w:r>
      <w:bookmarkEnd w:id="15"/>
      <w:bookmarkEnd w:id="16"/>
    </w:p>
    <w:p>
      <w:pPr>
        <w:adjustRightInd w:val="0"/>
        <w:spacing w:line="360" w:lineRule="auto"/>
        <w:ind w:firstLine="560" w:firstLineChars="200"/>
        <w:jc w:val="left"/>
        <w:rPr>
          <w:rFonts w:ascii="Times New Roman" w:eastAsia="宋体" w:hAnsiTheme="minorEastAsia" w:cstheme="minorEastAsia"/>
          <w:sz w:val="28"/>
          <w:szCs w:val="32"/>
        </w:rPr>
      </w:pPr>
      <w:r>
        <w:rPr>
          <w:rFonts w:hint="eastAsia" w:ascii="Times New Roman" w:eastAsia="宋体" w:hAnsiTheme="minorEastAsia" w:cstheme="minorEastAsia"/>
          <w:kern w:val="0"/>
          <w:sz w:val="28"/>
          <w:szCs w:val="32"/>
        </w:rPr>
        <w:t>为全面实施预算绩效管理，提高财政资金使用效益，</w:t>
      </w:r>
      <w:r>
        <w:rPr>
          <w:rFonts w:hint="eastAsia" w:ascii="Times New Roman" w:eastAsia="宋体" w:hAnsiTheme="minorEastAsia" w:cstheme="minorEastAsia"/>
          <w:sz w:val="28"/>
          <w:szCs w:val="32"/>
        </w:rPr>
        <w:t>根据《中共德化县委办公室 德化县人民政府办公室关于印发</w:t>
      </w:r>
      <w:r>
        <w:rPr>
          <w:rFonts w:hint="eastAsia" w:ascii="Times New Roman" w:eastAsia="宋体" w:hAnsiTheme="minorEastAsia" w:cstheme="minorEastAsia"/>
          <w:sz w:val="28"/>
          <w:szCs w:val="32"/>
          <w:lang w:eastAsia="zh-CN"/>
        </w:rPr>
        <w:t>〈</w:t>
      </w:r>
      <w:r>
        <w:rPr>
          <w:rFonts w:hint="eastAsia" w:ascii="Times New Roman" w:eastAsia="宋体" w:hAnsiTheme="minorEastAsia" w:cstheme="minorEastAsia"/>
          <w:sz w:val="28"/>
          <w:szCs w:val="32"/>
        </w:rPr>
        <w:t>德化县全面实施预算绩效管理的若干措施</w:t>
      </w:r>
      <w:r>
        <w:rPr>
          <w:rFonts w:hint="eastAsia" w:ascii="Times New Roman" w:eastAsia="宋体" w:hAnsiTheme="minorEastAsia" w:cstheme="minorEastAsia"/>
          <w:sz w:val="28"/>
          <w:szCs w:val="32"/>
          <w:lang w:eastAsia="zh-CN"/>
        </w:rPr>
        <w:t>〉</w:t>
      </w:r>
      <w:r>
        <w:rPr>
          <w:rFonts w:hint="eastAsia" w:ascii="Times New Roman" w:eastAsia="宋体" w:hAnsiTheme="minorEastAsia" w:cstheme="minorEastAsia"/>
          <w:sz w:val="28"/>
          <w:szCs w:val="32"/>
        </w:rPr>
        <w:t>的通知》</w:t>
      </w:r>
      <w:r>
        <w:rPr>
          <w:rFonts w:hint="eastAsia" w:ascii="Times New Roman" w:eastAsia="宋体" w:hAnsiTheme="minorEastAsia" w:cstheme="minorEastAsia"/>
          <w:sz w:val="28"/>
          <w:szCs w:val="32"/>
          <w:lang w:eastAsia="zh-CN"/>
        </w:rPr>
        <w:t>（</w:t>
      </w:r>
      <w:r>
        <w:rPr>
          <w:rFonts w:hint="eastAsia" w:ascii="Times New Roman" w:eastAsia="宋体" w:hAnsiTheme="minorEastAsia" w:cstheme="minorEastAsia"/>
          <w:sz w:val="28"/>
          <w:szCs w:val="32"/>
        </w:rPr>
        <w:t>德委办</w:t>
      </w:r>
      <w:r>
        <w:rPr>
          <w:rFonts w:hint="eastAsia" w:ascii="Times New Roman" w:eastAsia="宋体" w:hAnsiTheme="minorEastAsia" w:cstheme="minorEastAsia"/>
          <w:kern w:val="0"/>
          <w:sz w:val="28"/>
          <w:szCs w:val="32"/>
        </w:rPr>
        <w:t>〔</w:t>
      </w:r>
      <w:r>
        <w:rPr>
          <w:rFonts w:hint="eastAsia" w:ascii="Times New Roman" w:eastAsia="宋体" w:hAnsiTheme="minorEastAsia" w:cstheme="minorEastAsia"/>
          <w:sz w:val="28"/>
          <w:szCs w:val="32"/>
        </w:rPr>
        <w:t>2019〕94号</w:t>
      </w:r>
      <w:r>
        <w:rPr>
          <w:rFonts w:hint="eastAsia" w:ascii="Times New Roman" w:eastAsia="宋体" w:hAnsiTheme="minorEastAsia" w:cstheme="minorEastAsia"/>
          <w:sz w:val="28"/>
          <w:szCs w:val="32"/>
          <w:lang w:eastAsia="zh-CN"/>
        </w:rPr>
        <w:t>）</w:t>
      </w:r>
      <w:r>
        <w:rPr>
          <w:rFonts w:hint="eastAsia" w:ascii="Times New Roman" w:eastAsia="宋体" w:hAnsiTheme="minorEastAsia" w:cstheme="minorEastAsia"/>
          <w:sz w:val="28"/>
          <w:szCs w:val="32"/>
        </w:rPr>
        <w:t>和《德化县财政局关于开展预算绩效项目重点评价工作的通知》（德财</w:t>
      </w:r>
      <w:r>
        <w:rPr>
          <w:rFonts w:hint="eastAsia" w:ascii="Times New Roman" w:eastAsia="宋体" w:hAnsiTheme="minorEastAsia" w:cstheme="minorEastAsia"/>
          <w:kern w:val="0"/>
          <w:sz w:val="28"/>
          <w:szCs w:val="32"/>
        </w:rPr>
        <w:t>〔</w:t>
      </w:r>
      <w:r>
        <w:rPr>
          <w:rFonts w:hint="eastAsia" w:ascii="Times New Roman" w:eastAsia="宋体" w:hAnsiTheme="minorEastAsia" w:cstheme="minorEastAsia"/>
          <w:sz w:val="28"/>
          <w:szCs w:val="32"/>
        </w:rPr>
        <w:t>2023〕177号）文件有关规定，德化县财政局</w:t>
      </w:r>
      <w:r>
        <w:rPr>
          <w:rFonts w:hint="eastAsia" w:ascii="Times New Roman" w:eastAsia="宋体" w:hAnsiTheme="minorEastAsia" w:cstheme="minorEastAsia"/>
          <w:sz w:val="28"/>
          <w:szCs w:val="32"/>
          <w:lang w:val="en-US" w:eastAsia="zh-CN"/>
        </w:rPr>
        <w:t>委托</w:t>
      </w:r>
      <w:r>
        <w:rPr>
          <w:rFonts w:hint="eastAsia" w:ascii="Times New Roman" w:eastAsia="宋体" w:hAnsiTheme="minorEastAsia" w:cstheme="minorEastAsia"/>
          <w:sz w:val="28"/>
          <w:szCs w:val="32"/>
        </w:rPr>
        <w:t>泉州市启程财务咨询有限公司，</w:t>
      </w:r>
      <w:r>
        <w:rPr>
          <w:rFonts w:hint="eastAsia" w:ascii="Times New Roman" w:eastAsia="宋体" w:hAnsiTheme="minorEastAsia" w:cstheme="minorEastAsia"/>
          <w:kern w:val="0"/>
          <w:sz w:val="28"/>
          <w:szCs w:val="32"/>
        </w:rPr>
        <w:t>对德化县卫生健康局及18乡镇2022年度疫情防控资金10027万元实施绩效评价</w:t>
      </w:r>
      <w:r>
        <w:rPr>
          <w:rFonts w:hint="eastAsia" w:ascii="Times New Roman" w:eastAsia="宋体" w:hAnsiTheme="minorEastAsia" w:cstheme="minorEastAsia"/>
          <w:sz w:val="28"/>
          <w:szCs w:val="32"/>
        </w:rPr>
        <w:t>。泉州市启程财务咨询有限公司绩效评价小组成立由徐本玉任组长、卢婉芳任副组长、组员由陈晓彬、刘凤阳、李英、施沛芸组成。</w:t>
      </w:r>
    </w:p>
    <w:p>
      <w:pPr>
        <w:adjustRightInd w:val="0"/>
        <w:spacing w:line="360" w:lineRule="auto"/>
        <w:ind w:firstLine="560" w:firstLineChars="200"/>
        <w:jc w:val="left"/>
        <w:rPr>
          <w:rFonts w:ascii="Times New Roman" w:eastAsia="宋体" w:hAnsiTheme="minorEastAsia" w:cstheme="minorEastAsia"/>
          <w:kern w:val="0"/>
          <w:sz w:val="28"/>
          <w:szCs w:val="32"/>
        </w:rPr>
      </w:pPr>
      <w:r>
        <w:rPr>
          <w:rFonts w:hint="eastAsia" w:ascii="Times New Roman" w:eastAsia="宋体" w:hAnsiTheme="minorEastAsia" w:cstheme="minorEastAsia"/>
          <w:kern w:val="0"/>
          <w:sz w:val="28"/>
          <w:szCs w:val="32"/>
        </w:rPr>
        <w:t>评价小组在收集、整理、汇总、分析相关绩效评价资料的基础上，通过查账、实地调查等方式进行了解核实，对照评价指标和标准进行评议与打分，形成《2022年度德化县疫情防控资金绩效评价报告》。</w:t>
      </w:r>
    </w:p>
    <w:p>
      <w:pPr>
        <w:numPr>
          <w:ilvl w:val="0"/>
          <w:numId w:val="1"/>
        </w:numPr>
        <w:adjustRightInd w:val="0"/>
        <w:spacing w:before="312" w:beforeLines="100" w:after="156" w:afterLines="50" w:line="360" w:lineRule="auto"/>
        <w:jc w:val="left"/>
        <w:outlineLvl w:val="0"/>
        <w:rPr>
          <w:rFonts w:ascii="Times New Roman" w:eastAsia="宋体" w:hAnsiTheme="minorEastAsia" w:cstheme="minorEastAsia"/>
          <w:b/>
          <w:bCs/>
          <w:kern w:val="0"/>
          <w:sz w:val="32"/>
          <w:szCs w:val="32"/>
        </w:rPr>
      </w:pPr>
      <w:bookmarkStart w:id="17" w:name="_Toc25682"/>
      <w:bookmarkStart w:id="18" w:name="_Toc3353"/>
      <w:r>
        <w:rPr>
          <w:rFonts w:hint="eastAsia" w:ascii="Times New Roman" w:eastAsia="宋体" w:hAnsiTheme="minorEastAsia" w:cstheme="minorEastAsia"/>
          <w:b/>
          <w:bCs/>
          <w:kern w:val="0"/>
          <w:sz w:val="32"/>
          <w:szCs w:val="32"/>
        </w:rPr>
        <w:t>项目基本情况</w:t>
      </w:r>
      <w:bookmarkEnd w:id="17"/>
      <w:bookmarkEnd w:id="18"/>
      <w:bookmarkStart w:id="19" w:name="_Toc16470"/>
      <w:bookmarkStart w:id="20" w:name="_Toc1109"/>
      <w:bookmarkStart w:id="21" w:name="_Toc21970"/>
      <w:bookmarkStart w:id="22" w:name="_Toc22311"/>
      <w:bookmarkStart w:id="23" w:name="_Toc18654"/>
      <w:bookmarkStart w:id="24" w:name="_Toc7948"/>
    </w:p>
    <w:bookmarkEnd w:id="19"/>
    <w:bookmarkEnd w:id="20"/>
    <w:bookmarkEnd w:id="21"/>
    <w:bookmarkEnd w:id="22"/>
    <w:p>
      <w:pPr>
        <w:adjustRightInd w:val="0"/>
        <w:spacing w:before="156" w:beforeLines="50" w:line="360" w:lineRule="auto"/>
        <w:jc w:val="left"/>
        <w:outlineLvl w:val="1"/>
        <w:rPr>
          <w:rFonts w:ascii="Times New Roman" w:eastAsia="宋体" w:hAnsiTheme="minorEastAsia" w:cstheme="minorEastAsia"/>
          <w:b/>
          <w:kern w:val="0"/>
          <w:sz w:val="30"/>
          <w:szCs w:val="32"/>
        </w:rPr>
      </w:pPr>
      <w:bookmarkStart w:id="25" w:name="_Toc20517"/>
      <w:r>
        <w:rPr>
          <w:rFonts w:hint="eastAsia" w:ascii="Times New Roman" w:eastAsia="宋体" w:hAnsiTheme="minorEastAsia" w:cstheme="minorEastAsia"/>
          <w:b/>
          <w:kern w:val="0"/>
          <w:sz w:val="30"/>
          <w:szCs w:val="32"/>
        </w:rPr>
        <w:t>（一）项目背景</w:t>
      </w:r>
      <w:bookmarkEnd w:id="23"/>
      <w:bookmarkEnd w:id="24"/>
      <w:bookmarkEnd w:id="25"/>
    </w:p>
    <w:p>
      <w:pPr>
        <w:adjustRightInd w:val="0"/>
        <w:spacing w:line="360" w:lineRule="auto"/>
        <w:ind w:firstLine="560" w:firstLineChars="200"/>
        <w:jc w:val="left"/>
        <w:rPr>
          <w:rFonts w:ascii="Times New Roman" w:eastAsia="宋体" w:hAnsiTheme="minorEastAsia" w:cstheme="minorEastAsia"/>
          <w:kern w:val="0"/>
          <w:sz w:val="28"/>
          <w:szCs w:val="32"/>
        </w:rPr>
      </w:pPr>
      <w:r>
        <w:rPr>
          <w:rFonts w:hint="eastAsia" w:ascii="Times New Roman" w:eastAsia="宋体" w:hAnsiTheme="minorEastAsia" w:cstheme="minorEastAsia"/>
          <w:kern w:val="0"/>
          <w:sz w:val="28"/>
          <w:szCs w:val="32"/>
        </w:rPr>
        <w:t>新冠</w:t>
      </w:r>
      <w:r>
        <w:rPr>
          <w:rFonts w:hint="eastAsia" w:ascii="Times New Roman" w:eastAsia="宋体" w:hAnsiTheme="minorEastAsia" w:cstheme="minorEastAsia"/>
          <w:kern w:val="0"/>
          <w:sz w:val="28"/>
          <w:szCs w:val="32"/>
          <w:lang w:eastAsia="zh-CN"/>
        </w:rPr>
        <w:t>疫情暴发</w:t>
      </w:r>
      <w:r>
        <w:rPr>
          <w:rFonts w:hint="eastAsia" w:ascii="Times New Roman" w:eastAsia="宋体" w:hAnsiTheme="minorEastAsia" w:cstheme="minorEastAsia"/>
          <w:kern w:val="0"/>
          <w:sz w:val="28"/>
          <w:szCs w:val="32"/>
        </w:rPr>
        <w:t>以来，党中央、国务院高度重视，及时科学地对疫情形势进行研判，对防控工作作出安排部署，为贯彻落实习近平总书记对新型冠状病毒感染肺炎疫情工作作出的重要批示精神，德化县政府积极落实上级部署，切实抓好疫情防控各项措施落实。根据《福建省财政厅转发财政部关于进一步做好新型冠状病毒感染肺炎疫情防控经费保障工作的通知》</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闽财办〔2020〕3号）、《福建省财政厅 福建省卫生健康委员会关于印发〈福建省新型冠状病毒感染的肺炎疫情防治工作专项补助资金管理办法〉的通知》（闽财社〔2020〕6号），德化县2022年度新型冠状病毒感染的肺炎疫情防控资金（以下简称疫情防控资金）共支出10027万元。</w:t>
      </w:r>
      <w:bookmarkStart w:id="26" w:name="_Toc927"/>
    </w:p>
    <w:p>
      <w:pPr>
        <w:adjustRightInd w:val="0"/>
        <w:spacing w:before="156" w:beforeLines="50" w:line="360" w:lineRule="auto"/>
        <w:jc w:val="left"/>
        <w:outlineLvl w:val="1"/>
        <w:rPr>
          <w:rFonts w:ascii="Times New Roman" w:eastAsia="宋体" w:hAnsiTheme="minorEastAsia" w:cstheme="minorEastAsia"/>
          <w:b/>
          <w:kern w:val="0"/>
          <w:sz w:val="30"/>
          <w:szCs w:val="32"/>
        </w:rPr>
      </w:pPr>
      <w:bookmarkStart w:id="27" w:name="_Toc8727"/>
      <w:r>
        <w:rPr>
          <w:rFonts w:hint="eastAsia" w:ascii="Times New Roman" w:eastAsia="宋体" w:hAnsiTheme="minorEastAsia" w:cstheme="minorEastAsia"/>
          <w:b/>
          <w:kern w:val="0"/>
          <w:sz w:val="30"/>
          <w:szCs w:val="32"/>
          <w:lang w:eastAsia="zh-CN"/>
        </w:rPr>
        <w:t>（</w:t>
      </w:r>
      <w:r>
        <w:rPr>
          <w:rFonts w:hint="eastAsia" w:ascii="Times New Roman" w:eastAsia="宋体" w:hAnsiTheme="minorEastAsia" w:cstheme="minorEastAsia"/>
          <w:b/>
          <w:kern w:val="0"/>
          <w:sz w:val="30"/>
          <w:szCs w:val="32"/>
        </w:rPr>
        <w:t>二）项目基本概况</w:t>
      </w:r>
      <w:bookmarkEnd w:id="26"/>
      <w:bookmarkEnd w:id="27"/>
    </w:p>
    <w:p>
      <w:pPr>
        <w:adjustRightInd w:val="0"/>
        <w:spacing w:line="360" w:lineRule="auto"/>
        <w:ind w:firstLine="560" w:firstLineChars="200"/>
        <w:jc w:val="left"/>
        <w:rPr>
          <w:rFonts w:ascii="Times New Roman" w:eastAsia="宋体" w:hAnsiTheme="minorEastAsia" w:cstheme="minorEastAsia"/>
          <w:kern w:val="0"/>
          <w:sz w:val="28"/>
          <w:szCs w:val="32"/>
        </w:rPr>
      </w:pPr>
      <w:r>
        <w:rPr>
          <w:rFonts w:hint="eastAsia" w:ascii="Times New Roman" w:eastAsia="宋体" w:hAnsiTheme="minorEastAsia" w:cstheme="minorEastAsia"/>
          <w:kern w:val="0"/>
          <w:sz w:val="28"/>
          <w:szCs w:val="32"/>
        </w:rPr>
        <w:t>德化县卫生健康局及18乡镇2022年度疫情防控资金10027万元来源财政预算安排的资金、上级补助资金。疫情防控专项资金主要用于设备和防控物资采购、医疗救治、疫情防控人员补助和其他疫情防控经费等。</w:t>
      </w:r>
    </w:p>
    <w:p>
      <w:pPr>
        <w:adjustRightInd w:val="0"/>
        <w:spacing w:before="156" w:beforeLines="50" w:line="360" w:lineRule="auto"/>
        <w:jc w:val="left"/>
        <w:outlineLvl w:val="1"/>
        <w:rPr>
          <w:rFonts w:ascii="Times New Roman" w:eastAsia="宋体" w:hAnsiTheme="minorEastAsia" w:cstheme="minorEastAsia"/>
          <w:b/>
          <w:kern w:val="0"/>
          <w:sz w:val="30"/>
          <w:szCs w:val="32"/>
        </w:rPr>
      </w:pPr>
      <w:bookmarkStart w:id="28" w:name="_Toc7669"/>
      <w:r>
        <w:rPr>
          <w:rFonts w:hint="eastAsia" w:ascii="Times New Roman" w:eastAsia="宋体" w:hAnsiTheme="minorEastAsia" w:cstheme="minorEastAsia"/>
          <w:b/>
          <w:kern w:val="0"/>
          <w:sz w:val="30"/>
          <w:szCs w:val="32"/>
        </w:rPr>
        <w:t>（三）资金投入和使用情况</w:t>
      </w:r>
      <w:bookmarkEnd w:id="28"/>
    </w:p>
    <w:p>
      <w:pPr>
        <w:adjustRightInd w:val="0"/>
        <w:spacing w:line="360" w:lineRule="auto"/>
        <w:jc w:val="left"/>
        <w:outlineLvl w:val="2"/>
        <w:rPr>
          <w:rFonts w:ascii="Times New Roman" w:eastAsia="宋体" w:hAnsiTheme="minorEastAsia" w:cstheme="minorEastAsia"/>
          <w:b/>
          <w:kern w:val="0"/>
          <w:sz w:val="28"/>
          <w:szCs w:val="32"/>
        </w:rPr>
      </w:pPr>
      <w:bookmarkStart w:id="29" w:name="_Toc19566"/>
      <w:r>
        <w:rPr>
          <w:rFonts w:hint="eastAsia" w:ascii="Times New Roman" w:eastAsia="宋体" w:hAnsiTheme="minorEastAsia" w:cstheme="minorEastAsia"/>
          <w:b/>
          <w:kern w:val="0"/>
          <w:sz w:val="28"/>
          <w:szCs w:val="32"/>
        </w:rPr>
        <w:t>1.疫情防控资金到位情况</w:t>
      </w:r>
      <w:bookmarkEnd w:id="29"/>
    </w:p>
    <w:p>
      <w:pPr>
        <w:adjustRightInd w:val="0"/>
        <w:spacing w:line="360" w:lineRule="auto"/>
        <w:ind w:firstLine="560" w:firstLineChars="200"/>
        <w:jc w:val="left"/>
        <w:rPr>
          <w:rFonts w:ascii="Times New Roman" w:eastAsia="宋体" w:hAnsiTheme="minorEastAsia" w:cstheme="minorEastAsia"/>
          <w:kern w:val="0"/>
          <w:sz w:val="28"/>
          <w:szCs w:val="32"/>
        </w:rPr>
      </w:pPr>
      <w:r>
        <w:rPr>
          <w:rFonts w:hint="eastAsia" w:ascii="Times New Roman" w:eastAsia="宋体" w:hAnsiTheme="minorEastAsia" w:cstheme="minorEastAsia"/>
          <w:kern w:val="0"/>
          <w:sz w:val="28"/>
          <w:szCs w:val="32"/>
        </w:rPr>
        <w:t>截至2022年12月31日，县</w:t>
      </w:r>
      <w:r>
        <w:rPr>
          <w:rFonts w:hint="eastAsia" w:ascii="Times New Roman" w:eastAsia="宋体" w:hAnsiTheme="minorEastAsia" w:cstheme="minorEastAsia"/>
          <w:kern w:val="0"/>
          <w:sz w:val="28"/>
          <w:szCs w:val="32"/>
          <w:lang w:val="en-US" w:eastAsia="zh-CN"/>
        </w:rPr>
        <w:t>级</w:t>
      </w:r>
      <w:r>
        <w:rPr>
          <w:rFonts w:hint="eastAsia" w:ascii="Times New Roman" w:eastAsia="宋体" w:hAnsiTheme="minorEastAsia" w:cstheme="minorEastAsia"/>
          <w:kern w:val="0"/>
          <w:sz w:val="28"/>
          <w:szCs w:val="32"/>
        </w:rPr>
        <w:t>补助到位资金9579万元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县卫健局到位9200万元，18乡镇到位379万元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w:t>
      </w:r>
      <w:r>
        <w:rPr>
          <w:rFonts w:hint="eastAsia" w:ascii="Times New Roman" w:hAnsi="宋体" w:eastAsia="宋体" w:cs="宋体"/>
          <w:kern w:val="0"/>
          <w:sz w:val="28"/>
          <w:szCs w:val="22"/>
          <w:lang w:val="en-US" w:eastAsia="zh-CN" w:bidi="ar"/>
        </w:rPr>
        <w:t>省级</w:t>
      </w:r>
      <w:r>
        <w:rPr>
          <w:rFonts w:hint="eastAsia" w:ascii="Times New Roman" w:eastAsia="宋体" w:hAnsiTheme="minorEastAsia" w:cstheme="minorEastAsia"/>
          <w:kern w:val="0"/>
          <w:sz w:val="28"/>
          <w:szCs w:val="32"/>
        </w:rPr>
        <w:t>补助到位资金448万元，</w:t>
      </w:r>
      <w:r>
        <w:rPr>
          <w:rFonts w:hint="eastAsia" w:ascii="Times New Roman" w:eastAsia="宋体" w:hAnsiTheme="minorEastAsia" w:cstheme="minorEastAsia"/>
          <w:kern w:val="0"/>
          <w:sz w:val="28"/>
          <w:szCs w:val="32"/>
          <w:lang w:eastAsia="zh-CN"/>
        </w:rPr>
        <w:t>合计到位资金</w:t>
      </w:r>
      <w:r>
        <w:rPr>
          <w:rFonts w:hint="eastAsia" w:ascii="Times New Roman" w:eastAsia="宋体" w:hAnsiTheme="minorEastAsia" w:cstheme="minorEastAsia"/>
          <w:kern w:val="0"/>
          <w:sz w:val="28"/>
          <w:szCs w:val="32"/>
        </w:rPr>
        <w:t>10027万元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资金到位率100%。</w:t>
      </w:r>
    </w:p>
    <w:p>
      <w:pPr>
        <w:numPr>
          <w:ilvl w:val="0"/>
          <w:numId w:val="2"/>
        </w:numPr>
        <w:adjustRightInd w:val="0"/>
        <w:spacing w:line="360" w:lineRule="auto"/>
        <w:jc w:val="left"/>
        <w:outlineLvl w:val="2"/>
        <w:rPr>
          <w:rFonts w:hint="eastAsia" w:ascii="Times New Roman" w:eastAsia="宋体" w:hAnsiTheme="minorEastAsia" w:cstheme="minorEastAsia"/>
          <w:b/>
          <w:kern w:val="0"/>
          <w:sz w:val="28"/>
          <w:szCs w:val="32"/>
        </w:rPr>
      </w:pPr>
      <w:bookmarkStart w:id="30" w:name="_Toc13624"/>
      <w:r>
        <w:rPr>
          <w:rFonts w:hint="eastAsia" w:ascii="Times New Roman" w:eastAsia="宋体" w:hAnsiTheme="minorEastAsia" w:cstheme="minorEastAsia"/>
          <w:b/>
          <w:kern w:val="0"/>
          <w:sz w:val="28"/>
          <w:szCs w:val="32"/>
        </w:rPr>
        <w:t>疫情防控资金支出情况</w:t>
      </w:r>
      <w:bookmarkEnd w:id="30"/>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jc w:val="left"/>
        <w:textAlignment w:val="auto"/>
        <w:outlineLvl w:val="2"/>
        <w:rPr>
          <w:rFonts w:hint="default" w:ascii="Times New Roman" w:eastAsia="宋体" w:hAnsiTheme="minorEastAsia" w:cstheme="minorEastAsia"/>
          <w:b/>
          <w:kern w:val="0"/>
          <w:sz w:val="28"/>
          <w:szCs w:val="32"/>
          <w:lang w:val="en-US" w:eastAsia="zh-CN"/>
        </w:rPr>
      </w:pPr>
      <w:bookmarkStart w:id="31" w:name="_Toc23841"/>
      <w:bookmarkStart w:id="32" w:name="_Toc20204"/>
      <w:r>
        <w:rPr>
          <w:rFonts w:hint="eastAsia" w:ascii="Times New Roman" w:eastAsia="宋体" w:hAnsiTheme="minorEastAsia" w:cstheme="minorEastAsia"/>
          <w:kern w:val="0"/>
          <w:sz w:val="28"/>
          <w:szCs w:val="32"/>
        </w:rPr>
        <w:t>2022年疫情防控资金</w:t>
      </w:r>
      <w:r>
        <w:rPr>
          <w:rFonts w:hint="eastAsia" w:ascii="Times New Roman" w:eastAsia="宋体" w:hAnsiTheme="minorEastAsia" w:cstheme="minorEastAsia"/>
          <w:kern w:val="0"/>
          <w:sz w:val="28"/>
          <w:szCs w:val="32"/>
          <w:lang w:val="en-US" w:eastAsia="zh-CN"/>
        </w:rPr>
        <w:t>支出9871.5万元，支出情况如下：</w:t>
      </w:r>
      <w:bookmarkEnd w:id="31"/>
      <w:bookmarkEnd w:id="32"/>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ascii="Times New Roman" w:eastAsia="宋体" w:hAnsiTheme="minorEastAsia" w:cstheme="minorEastAsia"/>
          <w:kern w:val="0"/>
          <w:sz w:val="28"/>
          <w:szCs w:val="32"/>
        </w:rPr>
      </w:pPr>
      <w:r>
        <w:rPr>
          <w:rFonts w:hint="eastAsia" w:ascii="Times New Roman" w:eastAsia="宋体" w:hAnsiTheme="minorEastAsia" w:cstheme="minorEastAsia"/>
          <w:kern w:val="0"/>
          <w:sz w:val="28"/>
          <w:szCs w:val="32"/>
        </w:rPr>
        <w:t>（1）县卫健局疫情防控财政补助资金列支9492.5万元</w:t>
      </w:r>
    </w:p>
    <w:p>
      <w:pPr>
        <w:adjustRightInd w:val="0"/>
        <w:spacing w:line="360" w:lineRule="auto"/>
        <w:ind w:firstLine="560" w:firstLineChars="200"/>
        <w:jc w:val="left"/>
        <w:rPr>
          <w:rFonts w:ascii="Times New Roman" w:eastAsia="宋体" w:hAnsiTheme="minorEastAsia" w:cstheme="minorEastAsia"/>
          <w:kern w:val="0"/>
          <w:sz w:val="28"/>
          <w:szCs w:val="32"/>
        </w:rPr>
      </w:pPr>
      <w:r>
        <w:rPr>
          <w:rFonts w:hint="eastAsia" w:ascii="Times New Roman" w:hAnsi="宋体" w:eastAsia="宋体" w:cs="宋体"/>
          <w:kern w:val="0"/>
          <w:sz w:val="28"/>
          <w:szCs w:val="32"/>
        </w:rPr>
        <w:t>①</w:t>
      </w:r>
      <w:r>
        <w:rPr>
          <w:rFonts w:hint="eastAsia" w:ascii="Times New Roman" w:eastAsia="宋体" w:hAnsiTheme="minorEastAsia" w:cstheme="minorEastAsia"/>
          <w:kern w:val="0"/>
          <w:sz w:val="28"/>
          <w:szCs w:val="32"/>
        </w:rPr>
        <w:t>单位支出补助5021.87万元，其中：县卫健局</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指挥部</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717.42万元、县市场监督管理局1333.85万元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县工信和商务局264.09万元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县交通局180.24万元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县疾控中心204.26万元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县医院1725.91万元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县中医院596.1万元；</w:t>
      </w:r>
    </w:p>
    <w:p>
      <w:pPr>
        <w:adjustRightInd w:val="0"/>
        <w:spacing w:line="360" w:lineRule="auto"/>
        <w:ind w:firstLine="560" w:firstLineChars="200"/>
        <w:jc w:val="left"/>
        <w:rPr>
          <w:rFonts w:ascii="Times New Roman" w:eastAsia="宋体" w:hAnsiTheme="minorEastAsia" w:cstheme="minorEastAsia"/>
          <w:kern w:val="0"/>
          <w:sz w:val="28"/>
          <w:szCs w:val="32"/>
        </w:rPr>
      </w:pPr>
      <w:r>
        <w:rPr>
          <w:rFonts w:hint="eastAsia" w:ascii="Times New Roman" w:hAnsi="宋体" w:eastAsia="宋体" w:cs="宋体"/>
          <w:kern w:val="0"/>
          <w:sz w:val="28"/>
          <w:szCs w:val="32"/>
        </w:rPr>
        <w:t>②</w:t>
      </w:r>
      <w:r>
        <w:rPr>
          <w:rFonts w:hint="eastAsia" w:ascii="Times New Roman" w:eastAsia="宋体" w:hAnsiTheme="minorEastAsia" w:cstheme="minorEastAsia"/>
          <w:kern w:val="0"/>
          <w:sz w:val="28"/>
          <w:szCs w:val="32"/>
        </w:rPr>
        <w:t>核酸检测、采样人工费用补助1984.48万元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按检测1元/人次、采样2元/人次结算</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其中县医院</w:t>
      </w:r>
      <w:r>
        <w:rPr>
          <w:rFonts w:hint="eastAsia" w:ascii="Times New Roman" w:eastAsia="宋体" w:hAnsiTheme="minorEastAsia" w:cstheme="minorEastAsia"/>
          <w:kern w:val="0"/>
          <w:sz w:val="28"/>
          <w:szCs w:val="32"/>
          <w:lang w:val="en-US" w:eastAsia="zh-CN"/>
        </w:rPr>
        <w:t>补助</w:t>
      </w:r>
      <w:r>
        <w:rPr>
          <w:rFonts w:hint="eastAsia" w:ascii="Times New Roman" w:eastAsia="宋体" w:hAnsiTheme="minorEastAsia" w:cstheme="minorEastAsia"/>
          <w:kern w:val="0"/>
          <w:sz w:val="28"/>
          <w:szCs w:val="32"/>
        </w:rPr>
        <w:t>1102.99万元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县中医院</w:t>
      </w:r>
      <w:r>
        <w:rPr>
          <w:rFonts w:hint="eastAsia" w:ascii="Times New Roman" w:eastAsia="宋体" w:hAnsiTheme="minorEastAsia" w:cstheme="minorEastAsia"/>
          <w:kern w:val="0"/>
          <w:sz w:val="28"/>
          <w:szCs w:val="32"/>
          <w:lang w:val="en-US" w:eastAsia="zh-CN"/>
        </w:rPr>
        <w:t>补助</w:t>
      </w:r>
      <w:r>
        <w:rPr>
          <w:rFonts w:hint="eastAsia" w:ascii="Times New Roman" w:eastAsia="宋体" w:hAnsiTheme="minorEastAsia" w:cstheme="minorEastAsia"/>
          <w:kern w:val="0"/>
          <w:sz w:val="28"/>
          <w:szCs w:val="32"/>
        </w:rPr>
        <w:t>881.49万元；</w:t>
      </w:r>
    </w:p>
    <w:p>
      <w:pPr>
        <w:adjustRightInd w:val="0"/>
        <w:spacing w:line="360" w:lineRule="auto"/>
        <w:ind w:firstLine="560" w:firstLineChars="200"/>
        <w:jc w:val="left"/>
        <w:rPr>
          <w:rFonts w:ascii="Times New Roman" w:eastAsia="宋体" w:hAnsiTheme="minorEastAsia" w:cstheme="minorEastAsia"/>
          <w:kern w:val="0"/>
          <w:sz w:val="28"/>
          <w:szCs w:val="32"/>
        </w:rPr>
      </w:pPr>
      <w:r>
        <w:rPr>
          <w:rFonts w:hint="eastAsia" w:ascii="Times New Roman" w:hAnsi="宋体" w:eastAsia="宋体" w:cs="宋体"/>
          <w:kern w:val="0"/>
          <w:sz w:val="28"/>
          <w:szCs w:val="32"/>
        </w:rPr>
        <w:t>③</w:t>
      </w:r>
      <w:r>
        <w:rPr>
          <w:rFonts w:hint="eastAsia" w:ascii="Times New Roman" w:eastAsia="宋体" w:hAnsiTheme="minorEastAsia" w:cstheme="minorEastAsia"/>
          <w:kern w:val="0"/>
          <w:sz w:val="28"/>
          <w:szCs w:val="32"/>
        </w:rPr>
        <w:t>乡镇卫生院和社区卫生服务中心疫情防控支出合计165.81万元。</w:t>
      </w:r>
    </w:p>
    <w:p>
      <w:pPr>
        <w:adjustRightInd w:val="0"/>
        <w:spacing w:line="360" w:lineRule="auto"/>
        <w:ind w:firstLine="560" w:firstLineChars="200"/>
        <w:jc w:val="left"/>
        <w:rPr>
          <w:rFonts w:hint="eastAsia" w:ascii="Times New Roman" w:eastAsia="宋体" w:hAnsiTheme="minorEastAsia" w:cstheme="minorEastAsia"/>
          <w:kern w:val="0"/>
          <w:sz w:val="28"/>
          <w:szCs w:val="32"/>
        </w:rPr>
      </w:pPr>
      <w:r>
        <w:rPr>
          <w:rFonts w:hint="eastAsia" w:ascii="Times New Roman" w:hAnsi="宋体" w:eastAsia="宋体" w:cs="宋体"/>
          <w:kern w:val="0"/>
          <w:sz w:val="28"/>
          <w:szCs w:val="32"/>
        </w:rPr>
        <w:t>④</w:t>
      </w:r>
      <w:r>
        <w:rPr>
          <w:rFonts w:hint="eastAsia" w:ascii="Times New Roman" w:eastAsia="宋体" w:hAnsiTheme="minorEastAsia" w:cstheme="minorEastAsia"/>
          <w:kern w:val="0"/>
          <w:sz w:val="28"/>
          <w:szCs w:val="32"/>
        </w:rPr>
        <w:t>县卫健局设备和防控物资采购、医疗救治、疫情防控人员补助和其他疫情防控经费等相关支出合计2320.34万元。</w:t>
      </w:r>
    </w:p>
    <w:p>
      <w:pPr>
        <w:adjustRightInd w:val="0"/>
        <w:spacing w:line="360" w:lineRule="auto"/>
        <w:ind w:firstLine="560" w:firstLineChars="200"/>
        <w:jc w:val="left"/>
        <w:rPr>
          <w:rFonts w:ascii="Times New Roman" w:eastAsia="宋体" w:hAnsiTheme="minorEastAsia" w:cstheme="minorEastAsia"/>
          <w:kern w:val="0"/>
          <w:sz w:val="28"/>
          <w:szCs w:val="32"/>
        </w:rPr>
      </w:pPr>
      <w:r>
        <w:rPr>
          <w:rFonts w:hint="eastAsia" w:ascii="Times New Roman" w:hAnsi="Calibri" w:eastAsia="宋体" w:cs="Calibri"/>
          <w:kern w:val="0"/>
          <w:sz w:val="28"/>
          <w:szCs w:val="32"/>
        </w:rPr>
        <w:t>（2）18个乡镇</w:t>
      </w:r>
      <w:r>
        <w:rPr>
          <w:rFonts w:hint="eastAsia" w:ascii="Times New Roman" w:eastAsia="宋体" w:hAnsiTheme="minorEastAsia" w:cstheme="minorEastAsia"/>
          <w:kern w:val="0"/>
          <w:sz w:val="28"/>
          <w:szCs w:val="32"/>
        </w:rPr>
        <w:t>疫情防控财政补助资金列支379万元。</w:t>
      </w:r>
    </w:p>
    <w:p>
      <w:pPr>
        <w:pStyle w:val="15"/>
        <w:widowControl/>
        <w:spacing w:before="156" w:beforeLines="50" w:beforeAutospacing="0" w:afterAutospacing="0" w:line="360" w:lineRule="auto"/>
        <w:outlineLvl w:val="1"/>
        <w:rPr>
          <w:rFonts w:ascii="Times New Roman" w:eastAsia="宋体" w:hAnsiTheme="minorEastAsia" w:cstheme="minorEastAsia"/>
          <w:b/>
          <w:sz w:val="30"/>
          <w:szCs w:val="32"/>
        </w:rPr>
      </w:pPr>
      <w:bookmarkStart w:id="33" w:name="_Toc13190"/>
      <w:bookmarkStart w:id="34" w:name="_Toc16801"/>
      <w:r>
        <w:rPr>
          <w:rFonts w:hint="eastAsia" w:ascii="Times New Roman" w:eastAsia="宋体" w:hAnsiTheme="minorEastAsia" w:cstheme="minorEastAsia"/>
          <w:b/>
          <w:sz w:val="30"/>
          <w:szCs w:val="32"/>
        </w:rPr>
        <w:t>（三）项目绩效目标</w:t>
      </w:r>
      <w:bookmarkEnd w:id="33"/>
      <w:bookmarkEnd w:id="34"/>
    </w:p>
    <w:p>
      <w:pPr>
        <w:pStyle w:val="15"/>
        <w:widowControl/>
        <w:spacing w:beforeAutospacing="0" w:afterAutospacing="0" w:line="360" w:lineRule="auto"/>
        <w:outlineLvl w:val="2"/>
        <w:rPr>
          <w:rFonts w:ascii="Times New Roman" w:eastAsia="宋体" w:hAnsiTheme="minorEastAsia" w:cstheme="minorEastAsia"/>
          <w:b/>
          <w:sz w:val="28"/>
          <w:szCs w:val="32"/>
        </w:rPr>
      </w:pPr>
      <w:bookmarkStart w:id="35" w:name="_Toc30572"/>
      <w:bookmarkStart w:id="36" w:name="_Toc1656"/>
      <w:bookmarkStart w:id="37" w:name="_Toc9921"/>
      <w:r>
        <w:rPr>
          <w:rFonts w:hint="eastAsia" w:ascii="Times New Roman" w:eastAsia="宋体" w:hAnsiTheme="minorEastAsia" w:cstheme="minorEastAsia"/>
          <w:b/>
          <w:sz w:val="28"/>
          <w:szCs w:val="32"/>
        </w:rPr>
        <w:t>1</w:t>
      </w:r>
      <w:r>
        <w:rPr>
          <w:rFonts w:hint="eastAsia" w:ascii="Times New Roman" w:eastAsia="宋体" w:hAnsiTheme="minorEastAsia" w:cstheme="minorEastAsia"/>
          <w:b/>
          <w:sz w:val="28"/>
          <w:szCs w:val="32"/>
          <w:lang w:val="en-US" w:eastAsia="zh-CN"/>
        </w:rPr>
        <w:t>.</w:t>
      </w:r>
      <w:r>
        <w:rPr>
          <w:rFonts w:hint="eastAsia" w:ascii="Times New Roman" w:eastAsia="宋体" w:hAnsiTheme="minorEastAsia" w:cstheme="minorEastAsia"/>
          <w:b/>
          <w:sz w:val="28"/>
          <w:szCs w:val="32"/>
        </w:rPr>
        <w:t>总体目标</w:t>
      </w:r>
      <w:bookmarkEnd w:id="35"/>
      <w:bookmarkEnd w:id="36"/>
      <w:bookmarkEnd w:id="37"/>
    </w:p>
    <w:p>
      <w:pPr>
        <w:pStyle w:val="15"/>
        <w:widowControl/>
        <w:spacing w:beforeAutospacing="0" w:afterAutospacing="0" w:line="360" w:lineRule="auto"/>
        <w:ind w:firstLine="560" w:firstLineChars="200"/>
        <w:outlineLvl w:val="2"/>
        <w:rPr>
          <w:rFonts w:ascii="Times New Roman" w:eastAsia="宋体" w:hAnsiTheme="minorEastAsia" w:cstheme="minorEastAsia"/>
          <w:sz w:val="28"/>
          <w:szCs w:val="32"/>
        </w:rPr>
      </w:pPr>
      <w:bookmarkStart w:id="38" w:name="_Toc1896"/>
      <w:bookmarkStart w:id="39" w:name="_Toc27154"/>
      <w:bookmarkStart w:id="40" w:name="_Toc3783"/>
      <w:bookmarkStart w:id="41" w:name="_Toc17519"/>
      <w:r>
        <w:rPr>
          <w:rFonts w:hint="eastAsia" w:ascii="Times New Roman" w:eastAsia="宋体" w:hAnsiTheme="minorEastAsia" w:cstheme="minorEastAsia"/>
          <w:kern w:val="0"/>
          <w:sz w:val="28"/>
          <w:szCs w:val="32"/>
        </w:rPr>
        <w:t>2022年度疫情防控资金总体目标</w:t>
      </w:r>
      <w:r>
        <w:rPr>
          <w:rFonts w:hint="eastAsia" w:ascii="Times New Roman" w:eastAsia="宋体" w:hAnsiTheme="minorEastAsia" w:cstheme="minorEastAsia"/>
          <w:kern w:val="0"/>
          <w:sz w:val="28"/>
          <w:szCs w:val="32"/>
          <w:lang w:eastAsia="zh-CN"/>
        </w:rPr>
        <w:t>是</w:t>
      </w:r>
      <w:r>
        <w:rPr>
          <w:rFonts w:hint="eastAsia" w:ascii="Times New Roman" w:eastAsia="宋体" w:hAnsiTheme="minorEastAsia" w:cstheme="minorEastAsia"/>
          <w:sz w:val="28"/>
          <w:szCs w:val="32"/>
        </w:rPr>
        <w:t>贯彻落实习近平总书记对新型冠状病毒感染肺炎疫情工作作出的重要批示精神，按照党中央国务院和省委省政府的决策部署，支持各镇、各单位更好地做好防控保障工作，坚决遏制疫情蔓延势头，保障群众生命安全，县卫健局主动落实县疫情防控应急指挥部工作任务，增强核酸检测、隔离管理、流调溯源等疫情防控能力，做好疫情防控经费保障。</w:t>
      </w:r>
      <w:bookmarkEnd w:id="38"/>
      <w:bookmarkEnd w:id="39"/>
      <w:bookmarkEnd w:id="40"/>
      <w:bookmarkEnd w:id="41"/>
    </w:p>
    <w:p>
      <w:pPr>
        <w:pStyle w:val="10"/>
        <w:numPr>
          <w:ilvl w:val="0"/>
          <w:numId w:val="0"/>
        </w:numPr>
        <w:spacing w:line="360" w:lineRule="auto"/>
        <w:jc w:val="left"/>
        <w:outlineLvl w:val="2"/>
        <w:rPr>
          <w:rFonts w:ascii="Times New Roman" w:eastAsia="宋体" w:hAnsiTheme="minorEastAsia" w:cstheme="minorEastAsia"/>
          <w:b/>
          <w:kern w:val="0"/>
          <w:sz w:val="28"/>
          <w:szCs w:val="32"/>
        </w:rPr>
      </w:pPr>
      <w:bookmarkStart w:id="42" w:name="_Toc28344"/>
      <w:bookmarkStart w:id="43" w:name="_Toc7712"/>
      <w:r>
        <w:rPr>
          <w:rFonts w:hint="eastAsia" w:ascii="Times New Roman" w:eastAsia="宋体" w:hAnsiTheme="minorEastAsia" w:cstheme="minorEastAsia"/>
          <w:b/>
          <w:kern w:val="0"/>
          <w:sz w:val="28"/>
          <w:szCs w:val="32"/>
          <w:lang w:val="en-US" w:eastAsia="zh-CN"/>
        </w:rPr>
        <w:t>2.</w:t>
      </w:r>
      <w:r>
        <w:rPr>
          <w:rFonts w:hint="eastAsia" w:ascii="Times New Roman" w:eastAsia="宋体" w:hAnsiTheme="minorEastAsia" w:cstheme="minorEastAsia"/>
          <w:b/>
          <w:kern w:val="0"/>
          <w:sz w:val="28"/>
          <w:szCs w:val="32"/>
        </w:rPr>
        <w:t>年度绩效目标</w:t>
      </w:r>
      <w:bookmarkEnd w:id="42"/>
      <w:bookmarkEnd w:id="43"/>
    </w:p>
    <w:p>
      <w:pPr>
        <w:spacing w:line="360" w:lineRule="auto"/>
        <w:ind w:firstLine="560" w:firstLineChars="200"/>
        <w:jc w:val="left"/>
      </w:pPr>
      <w:r>
        <w:rPr>
          <w:rFonts w:hint="eastAsia" w:ascii="Times New Roman" w:eastAsia="宋体" w:hAnsiTheme="minorEastAsia" w:cstheme="minorEastAsia"/>
          <w:kern w:val="0"/>
          <w:sz w:val="28"/>
          <w:szCs w:val="32"/>
        </w:rPr>
        <w:t>2022年度德化县卫生健康局及18乡镇年度绩效目</w:t>
      </w:r>
      <w:r>
        <w:rPr>
          <w:rFonts w:hint="eastAsia" w:ascii="Times New Roman" w:eastAsia="宋体" w:hAnsiTheme="minorEastAsia" w:cstheme="minorEastAsia"/>
          <w:kern w:val="0"/>
          <w:sz w:val="28"/>
          <w:szCs w:val="32"/>
          <w:lang w:eastAsia="zh-CN"/>
        </w:rPr>
        <w:t>标是</w:t>
      </w:r>
      <w:r>
        <w:rPr>
          <w:rFonts w:hint="eastAsia" w:ascii="Times New Roman" w:eastAsia="宋体" w:hAnsiTheme="minorEastAsia" w:cstheme="minorEastAsia"/>
          <w:kern w:val="0"/>
          <w:sz w:val="28"/>
          <w:szCs w:val="32"/>
          <w:lang w:val="en-US" w:eastAsia="zh-CN"/>
        </w:rPr>
        <w:t>合理使用</w:t>
      </w:r>
      <w:r>
        <w:rPr>
          <w:rFonts w:hint="eastAsia" w:ascii="Times New Roman" w:eastAsia="宋体" w:hAnsiTheme="minorEastAsia" w:cstheme="minorEastAsia"/>
          <w:kern w:val="0"/>
          <w:sz w:val="28"/>
          <w:szCs w:val="32"/>
        </w:rPr>
        <w:t>疫情防控资金10027万元</w:t>
      </w:r>
      <w:r>
        <w:rPr>
          <w:rFonts w:hint="eastAsia" w:ascii="Times New Roman" w:eastAsia="宋体" w:hAnsiTheme="minorEastAsia" w:cstheme="minorEastAsia"/>
          <w:kern w:val="0"/>
          <w:sz w:val="28"/>
          <w:szCs w:val="32"/>
          <w:lang w:eastAsia="zh-CN"/>
        </w:rPr>
        <w:t>，</w:t>
      </w:r>
      <w:r>
        <w:rPr>
          <w:rFonts w:hint="eastAsia" w:ascii="Times New Roman" w:eastAsia="宋体" w:hAnsiTheme="minorEastAsia" w:cstheme="minorEastAsia"/>
          <w:kern w:val="0"/>
          <w:sz w:val="28"/>
          <w:szCs w:val="32"/>
        </w:rPr>
        <w:t>切实提高资金使用效率，充分发挥效益，同时检验项目开展是否达到预期目标，为</w:t>
      </w:r>
      <w:r>
        <w:rPr>
          <w:rFonts w:hint="eastAsia" w:ascii="Times New Roman" w:eastAsia="宋体" w:hAnsiTheme="minorEastAsia" w:cstheme="minorEastAsia"/>
          <w:kern w:val="0"/>
          <w:sz w:val="28"/>
          <w:szCs w:val="32"/>
          <w:lang w:val="en-US" w:eastAsia="zh-CN"/>
        </w:rPr>
        <w:t>下一</w:t>
      </w:r>
      <w:r>
        <w:rPr>
          <w:rFonts w:hint="eastAsia" w:ascii="Times New Roman" w:eastAsia="宋体" w:hAnsiTheme="minorEastAsia" w:cstheme="minorEastAsia"/>
          <w:kern w:val="0"/>
          <w:sz w:val="28"/>
          <w:szCs w:val="32"/>
        </w:rPr>
        <w:t>年度资金安排提供依据。疫情防控资金年度绩效目标，如表1所示。</w:t>
      </w:r>
    </w:p>
    <w:p>
      <w:pPr>
        <w:pStyle w:val="10"/>
        <w:jc w:val="left"/>
        <w:rPr>
          <w:rFonts w:ascii="Times New Roman" w:eastAsia="宋体" w:hAnsiTheme="minorEastAsia" w:cstheme="minorEastAsia"/>
          <w:b/>
          <w:kern w:val="0"/>
          <w:sz w:val="24"/>
          <w:szCs w:val="32"/>
        </w:rPr>
      </w:pPr>
      <w:r>
        <w:rPr>
          <w:rFonts w:hint="eastAsia" w:ascii="Times New Roman" w:eastAsia="宋体" w:hAnsiTheme="minorEastAsia" w:cstheme="minorEastAsia"/>
          <w:b/>
          <w:kern w:val="0"/>
          <w:sz w:val="24"/>
          <w:szCs w:val="32"/>
        </w:rPr>
        <w:t>表1：疫情防控资金绩效目标表</w:t>
      </w:r>
    </w:p>
    <w:tbl>
      <w:tblPr>
        <w:tblStyle w:val="17"/>
        <w:tblW w:w="8750" w:type="dxa"/>
        <w:tblInd w:w="0" w:type="dxa"/>
        <w:tblLayout w:type="fixed"/>
        <w:tblCellMar>
          <w:top w:w="0" w:type="dxa"/>
          <w:left w:w="108" w:type="dxa"/>
          <w:bottom w:w="0" w:type="dxa"/>
          <w:right w:w="108" w:type="dxa"/>
        </w:tblCellMar>
      </w:tblPr>
      <w:tblGrid>
        <w:gridCol w:w="1128"/>
        <w:gridCol w:w="1515"/>
        <w:gridCol w:w="2057"/>
        <w:gridCol w:w="2122"/>
        <w:gridCol w:w="1007"/>
        <w:gridCol w:w="921"/>
      </w:tblGrid>
      <w:tr>
        <w:tblPrEx>
          <w:tblCellMar>
            <w:top w:w="0" w:type="dxa"/>
            <w:left w:w="108" w:type="dxa"/>
            <w:bottom w:w="0" w:type="dxa"/>
            <w:right w:w="108" w:type="dxa"/>
          </w:tblCellMar>
        </w:tblPrEx>
        <w:trPr>
          <w:trHeight w:val="540" w:hRule="atLeast"/>
        </w:trPr>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一级指标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二级指标</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三级指标</w:t>
            </w:r>
          </w:p>
        </w:tc>
        <w:tc>
          <w:tcPr>
            <w:tcW w:w="2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内涵解释</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2022年目标值</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计量</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r>
      <w:tr>
        <w:tblPrEx>
          <w:tblCellMar>
            <w:top w:w="0" w:type="dxa"/>
            <w:left w:w="108" w:type="dxa"/>
            <w:bottom w:w="0" w:type="dxa"/>
            <w:right w:w="108" w:type="dxa"/>
          </w:tblCellMar>
        </w:tblPrEx>
        <w:trPr>
          <w:trHeight w:val="864"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产出指标</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数量指标</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核酸检测累计采集人次</w:t>
            </w:r>
          </w:p>
        </w:tc>
        <w:tc>
          <w:tcPr>
            <w:tcW w:w="21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核酸检测累计采集人次</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290</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万人次</w:t>
            </w:r>
          </w:p>
        </w:tc>
      </w:tr>
      <w:tr>
        <w:tblPrEx>
          <w:tblCellMar>
            <w:top w:w="0" w:type="dxa"/>
            <w:left w:w="108" w:type="dxa"/>
            <w:bottom w:w="0" w:type="dxa"/>
            <w:right w:w="108" w:type="dxa"/>
          </w:tblCellMar>
        </w:tblPrEx>
        <w:trPr>
          <w:trHeight w:val="86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b/>
                <w:bCs/>
                <w:color w:val="000000"/>
                <w:sz w:val="22"/>
                <w:szCs w:val="22"/>
              </w:rPr>
            </w:pPr>
          </w:p>
        </w:tc>
        <w:tc>
          <w:tcPr>
            <w:tcW w:w="151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质量指标</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新冠肺炎患者排查救治率</w:t>
            </w:r>
          </w:p>
        </w:tc>
        <w:tc>
          <w:tcPr>
            <w:tcW w:w="21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新冠肺炎患者排查救治率</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r>
        <w:tblPrEx>
          <w:tblCellMar>
            <w:top w:w="0" w:type="dxa"/>
            <w:left w:w="108" w:type="dxa"/>
            <w:bottom w:w="0" w:type="dxa"/>
            <w:right w:w="108" w:type="dxa"/>
          </w:tblCellMar>
        </w:tblPrEx>
        <w:trPr>
          <w:trHeight w:val="86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b/>
                <w:bCs/>
                <w:color w:val="000000"/>
                <w:sz w:val="22"/>
                <w:szCs w:val="22"/>
              </w:rPr>
            </w:pPr>
          </w:p>
        </w:tc>
        <w:tc>
          <w:tcPr>
            <w:tcW w:w="151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b/>
                <w:bCs/>
                <w:color w:val="000000"/>
                <w:sz w:val="22"/>
                <w:szCs w:val="22"/>
              </w:rPr>
            </w:pPr>
          </w:p>
        </w:tc>
        <w:tc>
          <w:tcPr>
            <w:tcW w:w="20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密切接触者集中隔离率</w:t>
            </w:r>
          </w:p>
        </w:tc>
        <w:tc>
          <w:tcPr>
            <w:tcW w:w="21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密切接触者集中隔离率</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r>
        <w:tblPrEx>
          <w:tblCellMar>
            <w:top w:w="0" w:type="dxa"/>
            <w:left w:w="108" w:type="dxa"/>
            <w:bottom w:w="0" w:type="dxa"/>
            <w:right w:w="108" w:type="dxa"/>
          </w:tblCellMar>
        </w:tblPrEx>
        <w:trPr>
          <w:trHeight w:val="86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b/>
                <w:bCs/>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时效指标</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暂定项目开展周期</w:t>
            </w:r>
          </w:p>
        </w:tc>
        <w:tc>
          <w:tcPr>
            <w:tcW w:w="21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暂定项目开展周期</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w:t>
            </w:r>
          </w:p>
        </w:tc>
      </w:tr>
      <w:tr>
        <w:tblPrEx>
          <w:tblCellMar>
            <w:top w:w="0" w:type="dxa"/>
            <w:left w:w="108" w:type="dxa"/>
            <w:bottom w:w="0" w:type="dxa"/>
            <w:right w:w="108" w:type="dxa"/>
          </w:tblCellMar>
        </w:tblPrEx>
        <w:trPr>
          <w:trHeight w:val="86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b/>
                <w:bCs/>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成本指标</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财政专项补助资金支付率</w:t>
            </w:r>
          </w:p>
        </w:tc>
        <w:tc>
          <w:tcPr>
            <w:tcW w:w="21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财政专项补助资金支付率</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r>
        <w:tblPrEx>
          <w:tblCellMar>
            <w:top w:w="0" w:type="dxa"/>
            <w:left w:w="108" w:type="dxa"/>
            <w:bottom w:w="0" w:type="dxa"/>
            <w:right w:w="108" w:type="dxa"/>
          </w:tblCellMar>
        </w:tblPrEx>
        <w:trPr>
          <w:trHeight w:val="864"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效益指标</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社会效益指标</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增加群众抗疫信心</w:t>
            </w:r>
          </w:p>
        </w:tc>
        <w:tc>
          <w:tcPr>
            <w:tcW w:w="21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增加群众抗疫信心率</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r>
        <w:tblPrEx>
          <w:tblCellMar>
            <w:top w:w="0" w:type="dxa"/>
            <w:left w:w="108" w:type="dxa"/>
            <w:bottom w:w="0" w:type="dxa"/>
            <w:right w:w="108" w:type="dxa"/>
          </w:tblCellMar>
        </w:tblPrEx>
        <w:trPr>
          <w:trHeight w:val="864"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b/>
                <w:bCs/>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可持续影响指标</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可持续影响指标</w:t>
            </w:r>
          </w:p>
        </w:tc>
        <w:tc>
          <w:tcPr>
            <w:tcW w:w="21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可持续影响指标</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发挥长期影响</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r>
      <w:tr>
        <w:tblPrEx>
          <w:tblCellMar>
            <w:top w:w="0" w:type="dxa"/>
            <w:left w:w="108" w:type="dxa"/>
            <w:bottom w:w="0" w:type="dxa"/>
            <w:right w:w="108" w:type="dxa"/>
          </w:tblCellMar>
        </w:tblPrEx>
        <w:trPr>
          <w:trHeight w:val="864" w:hRule="atLeast"/>
        </w:trPr>
        <w:tc>
          <w:tcPr>
            <w:tcW w:w="112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满意度指标</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群众对疫情防控工作的满意程度</w:t>
            </w:r>
          </w:p>
        </w:tc>
        <w:tc>
          <w:tcPr>
            <w:tcW w:w="212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群众对疫情防控工作的满意程度</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bl>
    <w:p>
      <w:pPr>
        <w:pStyle w:val="4"/>
        <w:spacing w:before="312" w:beforeLines="100" w:beforeAutospacing="0" w:after="156" w:afterLines="50" w:afterAutospacing="0" w:line="360" w:lineRule="auto"/>
        <w:rPr>
          <w:rFonts w:hint="default" w:ascii="Times New Roman" w:hAnsiTheme="majorEastAsia" w:cstheme="majorEastAsia"/>
          <w:bCs/>
          <w:spacing w:val="-3"/>
          <w:kern w:val="2"/>
          <w:sz w:val="32"/>
          <w:szCs w:val="32"/>
        </w:rPr>
      </w:pPr>
      <w:bookmarkStart w:id="44" w:name="_Toc4990"/>
      <w:bookmarkStart w:id="45" w:name="_Toc14558"/>
      <w:r>
        <w:rPr>
          <w:rFonts w:ascii="Times New Roman" w:hAnsiTheme="majorEastAsia" w:cstheme="majorEastAsia"/>
          <w:bCs/>
          <w:spacing w:val="-3"/>
          <w:kern w:val="2"/>
          <w:sz w:val="32"/>
          <w:szCs w:val="32"/>
        </w:rPr>
        <w:t>三、绩效评价指标体系构建</w:t>
      </w:r>
      <w:bookmarkEnd w:id="44"/>
      <w:bookmarkEnd w:id="45"/>
      <w:bookmarkStart w:id="46" w:name="_Toc17402"/>
    </w:p>
    <w:p>
      <w:pPr>
        <w:pStyle w:val="5"/>
        <w:spacing w:before="156" w:beforeLines="50" w:line="360" w:lineRule="auto"/>
        <w:ind w:firstLine="0"/>
        <w:jc w:val="left"/>
        <w:rPr>
          <w:rFonts w:ascii="Times New Roman" w:eastAsia="宋体" w:hAnsiTheme="majorEastAsia" w:cstheme="majorEastAsia"/>
          <w:bCs/>
          <w:spacing w:val="-3"/>
          <w:sz w:val="30"/>
          <w:szCs w:val="32"/>
        </w:rPr>
      </w:pPr>
      <w:bookmarkStart w:id="47" w:name="_Toc28958"/>
      <w:r>
        <w:rPr>
          <w:rFonts w:hint="eastAsia" w:ascii="Times New Roman" w:eastAsia="宋体" w:hAnsiTheme="majorEastAsia" w:cstheme="majorEastAsia"/>
          <w:bCs/>
          <w:spacing w:val="-3"/>
          <w:sz w:val="30"/>
          <w:szCs w:val="32"/>
        </w:rPr>
        <w:t>（一）绩效评价依据</w:t>
      </w:r>
      <w:bookmarkEnd w:id="46"/>
      <w:bookmarkEnd w:id="47"/>
    </w:p>
    <w:p>
      <w:pPr>
        <w:keepNext w:val="0"/>
        <w:keepLines w:val="0"/>
        <w:pageBreakBefore w:val="0"/>
        <w:widowControl w:val="0"/>
        <w:kinsoku/>
        <w:wordWrap/>
        <w:overflowPunct/>
        <w:topLinePunct w:val="0"/>
        <w:autoSpaceDE/>
        <w:autoSpaceDN/>
        <w:bidi w:val="0"/>
        <w:adjustRightInd/>
        <w:snapToGrid w:val="0"/>
        <w:spacing w:line="360" w:lineRule="auto"/>
        <w:ind w:firstLine="548" w:firstLineChars="200"/>
        <w:jc w:val="left"/>
        <w:textAlignment w:val="auto"/>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lang w:val="en-US" w:eastAsia="zh-CN"/>
        </w:rPr>
        <w:t>1）</w:t>
      </w:r>
      <w:r>
        <w:rPr>
          <w:rFonts w:hint="eastAsia" w:ascii="Times New Roman" w:eastAsia="宋体" w:hAnsiTheme="majorEastAsia" w:cstheme="majorEastAsia"/>
          <w:spacing w:val="-3"/>
          <w:sz w:val="28"/>
          <w:szCs w:val="32"/>
        </w:rPr>
        <w:t>《中共中央国务院关于全面实施预算绩效管理的意见》</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中发〔2018〕34号</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548" w:firstLineChars="200"/>
        <w:jc w:val="left"/>
        <w:textAlignment w:val="auto"/>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（2）财政部《关于印发</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项目支出绩效评价管理办法</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的通知》</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财预〔2020〕10号</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548" w:firstLineChars="200"/>
        <w:jc w:val="left"/>
        <w:textAlignment w:val="auto"/>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lang w:val="en-US" w:eastAsia="zh-CN"/>
        </w:rPr>
        <w:t>3）《</w:t>
      </w:r>
      <w:r>
        <w:rPr>
          <w:rFonts w:hint="eastAsia" w:ascii="Times New Roman" w:eastAsia="宋体" w:hAnsiTheme="majorEastAsia" w:cstheme="majorEastAsia"/>
          <w:spacing w:val="-3"/>
          <w:sz w:val="28"/>
          <w:szCs w:val="32"/>
        </w:rPr>
        <w:t>福建省财政厅关于印发财政支出绩效评价指标体系及使用指南的通知》</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闽财绩〔2012〕13 号</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48" w:firstLineChars="200"/>
        <w:jc w:val="left"/>
        <w:textAlignment w:val="auto"/>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（4）《福建省财政厅关于印发</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福建省财政支出绩效评价管理暂行办法</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的通知》</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闽财绩〔2015〕4号</w:t>
      </w:r>
      <w:r>
        <w:rPr>
          <w:rFonts w:hint="eastAsia" w:ascii="Times New Roman" w:eastAsia="宋体" w:hAnsiTheme="majorEastAsia" w:cstheme="majorEastAsia"/>
          <w:spacing w:val="-3"/>
          <w:sz w:val="28"/>
          <w:szCs w:val="32"/>
          <w:lang w:eastAsia="zh-CN"/>
        </w:rPr>
        <w:t>）</w:t>
      </w:r>
      <w:r>
        <w:rPr>
          <w:rFonts w:hint="eastAsia" w:ascii="Times New Roman" w:eastAsia="宋体" w:hAnsiTheme="majorEastAsia" w:cstheme="majorEastAsia"/>
          <w:spacing w:val="-3"/>
          <w:sz w:val="28"/>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548" w:firstLineChars="200"/>
        <w:jc w:val="left"/>
        <w:textAlignment w:val="auto"/>
        <w:rPr>
          <w:rFonts w:ascii="Times New Roman" w:eastAsia="宋体" w:hAnsiTheme="majorEastAsia" w:cstheme="majorEastAsia"/>
          <w:spacing w:val="-3"/>
          <w:sz w:val="28"/>
          <w:szCs w:val="32"/>
        </w:rPr>
      </w:pPr>
      <w:bookmarkStart w:id="48" w:name="_Toc26546"/>
      <w:r>
        <w:rPr>
          <w:rFonts w:hint="eastAsia" w:ascii="Times New Roman" w:eastAsia="宋体" w:hAnsiTheme="majorEastAsia" w:cstheme="majorEastAsia"/>
          <w:spacing w:val="-3"/>
          <w:sz w:val="28"/>
          <w:szCs w:val="32"/>
        </w:rPr>
        <w:t>（5）</w:t>
      </w:r>
      <w:bookmarkEnd w:id="48"/>
      <w:r>
        <w:rPr>
          <w:rFonts w:hint="eastAsia" w:ascii="Times New Roman" w:eastAsia="宋体" w:hAnsiTheme="majorEastAsia" w:cstheme="majorEastAsia"/>
          <w:spacing w:val="-3"/>
          <w:sz w:val="28"/>
          <w:szCs w:val="32"/>
        </w:rPr>
        <w:t>《福建省民政厅关于印发福建省疫情防控资金工作规范的通知》（闽民保〔2019〕121号）；</w:t>
      </w:r>
    </w:p>
    <w:p>
      <w:pPr>
        <w:pStyle w:val="10"/>
        <w:spacing w:line="360" w:lineRule="auto"/>
        <w:ind w:firstLine="548" w:firstLineChars="200"/>
        <w:jc w:val="left"/>
        <w:rPr>
          <w:rFonts w:hint="eastAsia" w:ascii="Times New Roman" w:eastAsia="宋体"/>
          <w:sz w:val="28"/>
        </w:rPr>
      </w:pPr>
      <w:r>
        <w:rPr>
          <w:rFonts w:hint="eastAsia" w:ascii="Times New Roman" w:eastAsia="宋体" w:hAnsiTheme="majorEastAsia" w:cstheme="majorEastAsia"/>
          <w:spacing w:val="-3"/>
          <w:sz w:val="28"/>
          <w:szCs w:val="32"/>
        </w:rPr>
        <w:t>（6）</w:t>
      </w:r>
      <w:bookmarkStart w:id="49" w:name="_Hlk141534540"/>
      <w:r>
        <w:rPr>
          <w:rFonts w:hint="eastAsia" w:ascii="Times New Roman" w:eastAsia="宋体"/>
          <w:sz w:val="28"/>
        </w:rPr>
        <w:t>《福建省财政厅转发财政部关于进一步做好新型冠状病毒感染肺炎疫情防控经费保障工作的通知》</w:t>
      </w:r>
      <w:r>
        <w:rPr>
          <w:rFonts w:hint="eastAsia" w:ascii="Times New Roman" w:eastAsia="宋体"/>
          <w:sz w:val="28"/>
          <w:lang w:eastAsia="zh-CN"/>
        </w:rPr>
        <w:t>（</w:t>
      </w:r>
      <w:r>
        <w:rPr>
          <w:rFonts w:hint="eastAsia" w:ascii="Times New Roman" w:eastAsia="宋体"/>
          <w:sz w:val="28"/>
        </w:rPr>
        <w:t>闽财办〔2020〕3号）</w:t>
      </w:r>
    </w:p>
    <w:p>
      <w:pPr>
        <w:pStyle w:val="10"/>
        <w:spacing w:line="360" w:lineRule="auto"/>
        <w:ind w:firstLine="560" w:firstLineChars="200"/>
        <w:jc w:val="left"/>
        <w:rPr>
          <w:rFonts w:hint="eastAsia" w:ascii="Times New Roman" w:eastAsia="宋体"/>
          <w:sz w:val="28"/>
        </w:rPr>
      </w:pPr>
      <w:r>
        <w:rPr>
          <w:rFonts w:hint="eastAsia" w:ascii="Times New Roman" w:eastAsia="宋体"/>
          <w:sz w:val="28"/>
          <w:lang w:eastAsia="zh-CN"/>
        </w:rPr>
        <w:t>（</w:t>
      </w:r>
      <w:r>
        <w:rPr>
          <w:rFonts w:hint="eastAsia" w:ascii="Times New Roman" w:eastAsia="宋体"/>
          <w:sz w:val="28"/>
          <w:lang w:val="en-US" w:eastAsia="zh-CN"/>
        </w:rPr>
        <w:t>7）</w:t>
      </w:r>
      <w:r>
        <w:rPr>
          <w:rFonts w:hint="eastAsia" w:ascii="Times New Roman" w:eastAsia="宋体"/>
          <w:sz w:val="28"/>
        </w:rPr>
        <w:t>《福建省财政厅 福建省卫生健康委员会关于印发〈福建省新型冠状病毒感染的肺炎疫情防治工作专项补助资金管理办法〉的通知》（闽财社〔2020〕6号）</w:t>
      </w:r>
    </w:p>
    <w:p>
      <w:pPr>
        <w:pStyle w:val="10"/>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sz w:val="28"/>
          <w:lang w:eastAsia="zh-CN"/>
        </w:rPr>
        <w:t>（</w:t>
      </w:r>
      <w:r>
        <w:rPr>
          <w:rFonts w:hint="eastAsia" w:ascii="Times New Roman" w:eastAsia="宋体"/>
          <w:sz w:val="28"/>
          <w:lang w:val="en-US" w:eastAsia="zh-CN"/>
        </w:rPr>
        <w:t>8）</w:t>
      </w:r>
      <w:r>
        <w:rPr>
          <w:rFonts w:hint="eastAsia" w:ascii="Times New Roman" w:eastAsia="宋体"/>
          <w:sz w:val="28"/>
        </w:rPr>
        <w:t>《泉州市财政局 泉州市卫生健康委员会关于印发〈新型冠状病毒感染肺炎疫情防控资金管理暂行规定〉的通知》（泉财社〔2020〕23号）</w:t>
      </w:r>
      <w:r>
        <w:rPr>
          <w:rFonts w:hint="eastAsia" w:ascii="Times New Roman" w:eastAsia="宋体" w:hAnsiTheme="majorEastAsia" w:cstheme="majorEastAsia"/>
          <w:spacing w:val="-3"/>
          <w:sz w:val="28"/>
          <w:szCs w:val="32"/>
        </w:rPr>
        <w:t>。</w:t>
      </w:r>
    </w:p>
    <w:bookmarkEnd w:id="49"/>
    <w:p>
      <w:pPr>
        <w:spacing w:before="156" w:beforeLines="50" w:line="360" w:lineRule="auto"/>
        <w:jc w:val="left"/>
        <w:outlineLvl w:val="1"/>
        <w:rPr>
          <w:rFonts w:ascii="Times New Roman" w:eastAsia="宋体" w:hAnsiTheme="majorEastAsia" w:cstheme="majorEastAsia"/>
          <w:b/>
          <w:bCs/>
          <w:spacing w:val="-3"/>
          <w:sz w:val="30"/>
          <w:szCs w:val="32"/>
        </w:rPr>
      </w:pPr>
      <w:bookmarkStart w:id="50" w:name="_Toc32610"/>
      <w:r>
        <w:rPr>
          <w:rFonts w:hint="eastAsia" w:ascii="Times New Roman" w:eastAsia="宋体" w:hAnsiTheme="majorEastAsia" w:cstheme="majorEastAsia"/>
          <w:b/>
          <w:bCs/>
          <w:spacing w:val="-3"/>
          <w:sz w:val="30"/>
          <w:szCs w:val="32"/>
        </w:rPr>
        <w:t>（二）绩效评价原则</w:t>
      </w:r>
      <w:bookmarkEnd w:id="50"/>
    </w:p>
    <w:p>
      <w:pPr>
        <w:pStyle w:val="10"/>
        <w:spacing w:line="360" w:lineRule="auto"/>
        <w:ind w:firstLine="548" w:firstLineChars="200"/>
        <w:jc w:val="left"/>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疫情防控资金绩效评价指标体系构建过程中需要遵循以下原则：</w:t>
      </w:r>
    </w:p>
    <w:p>
      <w:pPr>
        <w:pStyle w:val="10"/>
        <w:spacing w:line="360" w:lineRule="auto"/>
        <w:ind w:firstLine="548" w:firstLineChars="200"/>
        <w:jc w:val="left"/>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1）科学性原则。科学性原则是指标体系的结构、评价指标的选取以及指标的表述应当科学合理。指标体系结构的科学与否直接关系到整个绩效评价工作的效率以及最终评价结果的客观性。所选取的评价指标应当具备一定的理论基础，不能仅依赖于现有的其他项目或资金的绩效评价体系，也不能天马行空随意设定。评价指标的设定应当根据评价工作的重心进行确定，指标与指标之间存在逻辑关系并且指标的表达应当科学、规范、易于理解。另外，指标中的数据来源应当具备客观性和权威性，数据的计算和确定也应当具有科学依据。在设计指标时，应充分考虑专项资金特点以及其运作，以科学合理的指标来疫情防控资金专项资金的使用及管理情况。</w:t>
      </w:r>
    </w:p>
    <w:p>
      <w:pPr>
        <w:pStyle w:val="10"/>
        <w:spacing w:line="360" w:lineRule="auto"/>
        <w:ind w:firstLine="548" w:firstLineChars="200"/>
        <w:jc w:val="left"/>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2）可操作性原则。所谓可操作性是指为进行某项指标的评价而在获取所需要的信息和数据的过程中，一般坚持信息或数据能够比较容易获得、方便统计并且可重复使用的原则。可操作原则一方面能够降低绩效评价工作在数据取得方面的困难，另一方面能够在一定程度上保证绩效评价工作和结果的准确性和客观性，绩效指标不能全部描述所有的无法量化的工作活动，因此在进行绩效评价指标的设定过程中，一定要坚持可操作性原则。</w:t>
      </w:r>
    </w:p>
    <w:p>
      <w:pPr>
        <w:pStyle w:val="10"/>
        <w:spacing w:line="360" w:lineRule="auto"/>
        <w:ind w:firstLine="548" w:firstLineChars="200"/>
        <w:jc w:val="left"/>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3）重要性原则。重要性原则主要是指在设定绩效评价指标时，应当结合项目或者专项资金的实际情况，尽量选取最能够体现项目绩效，最具有代表性和相关性的指标。因为项目或专项资金的绩效涉及多个方面，在指标的设定时应当全面考虑，运用不同的指标从不同角度来反映项目的全貌。但是全面考虑并不意味着指标设计</w:t>
      </w:r>
      <w:r>
        <w:rPr>
          <w:rFonts w:hint="eastAsia" w:ascii="Times New Roman" w:eastAsia="宋体" w:hAnsiTheme="majorEastAsia" w:cstheme="majorEastAsia"/>
          <w:spacing w:val="-3"/>
          <w:sz w:val="28"/>
          <w:szCs w:val="32"/>
          <w:lang w:eastAsia="zh-CN"/>
        </w:rPr>
        <w:t>得</w:t>
      </w:r>
      <w:r>
        <w:rPr>
          <w:rFonts w:hint="eastAsia" w:ascii="Times New Roman" w:eastAsia="宋体" w:hAnsiTheme="majorEastAsia" w:cstheme="majorEastAsia"/>
          <w:spacing w:val="-3"/>
          <w:sz w:val="28"/>
          <w:szCs w:val="32"/>
        </w:rPr>
        <w:t>越多越好，指标体系越庞大，后续工作中需要收集的数据就越多，数据处理的难度和成本就越大。因此指标的设定应当在全面性与精简性之间进行权衡，选取的绩效评价指标必须能够保证对所评价工作的关键内容能够进行衡量。</w:t>
      </w:r>
    </w:p>
    <w:p>
      <w:pPr>
        <w:pStyle w:val="10"/>
        <w:spacing w:line="360" w:lineRule="auto"/>
        <w:ind w:firstLine="548" w:firstLineChars="200"/>
        <w:jc w:val="left"/>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4）定量分析与定性分析相结合原则。定量指标一般可以在实地调研过程中，能够直接获取到相关数据资料。定量指标的特点在于客观性较强，综合性较差。而定性指标则是根据项目执行过程中或者项目结果的一些状况进行分析、评判后进行设立。定性指标的特点在于综合性较强，但同时主观性也较强缺乏客观性。对项目进行绩效评价一般要求科学性、全面性、客观性，因此，对于项目的绩效评价指标设计是一项非常复杂的工作。有些项目的执行情况或者结果的状况并不能单纯地通过定量指标进行测定也不能单纯地通过定性指标进行评论。将定量指标和定性指标综合起来对项目的绩效目标进行绩效评价，评价结果才能更加公正客观、全面</w:t>
      </w:r>
      <w:r>
        <w:rPr>
          <w:rFonts w:hint="eastAsia" w:ascii="Times New Roman" w:eastAsia="宋体" w:hAnsiTheme="majorEastAsia" w:cstheme="majorEastAsia"/>
          <w:spacing w:val="-3"/>
          <w:sz w:val="28"/>
          <w:szCs w:val="32"/>
          <w:lang w:eastAsia="zh-CN"/>
        </w:rPr>
        <w:t>的</w:t>
      </w:r>
      <w:r>
        <w:rPr>
          <w:rFonts w:hint="eastAsia" w:ascii="Times New Roman" w:eastAsia="宋体" w:hAnsiTheme="majorEastAsia" w:cstheme="majorEastAsia"/>
          <w:spacing w:val="-3"/>
          <w:sz w:val="28"/>
          <w:szCs w:val="32"/>
          <w:lang w:val="en-US" w:eastAsia="zh-CN"/>
        </w:rPr>
        <w:t>反映</w:t>
      </w:r>
      <w:r>
        <w:rPr>
          <w:rFonts w:hint="eastAsia" w:ascii="Times New Roman" w:eastAsia="宋体" w:hAnsiTheme="majorEastAsia" w:cstheme="majorEastAsia"/>
          <w:spacing w:val="-3"/>
          <w:sz w:val="28"/>
          <w:szCs w:val="32"/>
        </w:rPr>
        <w:t>项目执行的成效。</w:t>
      </w:r>
    </w:p>
    <w:p>
      <w:pPr>
        <w:pStyle w:val="10"/>
        <w:spacing w:line="360" w:lineRule="auto"/>
        <w:ind w:firstLine="548" w:firstLineChars="200"/>
        <w:jc w:val="left"/>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（5）经济效益性原则。经济效益性原则是指在有限的时间或者成本的情况下，对于那些获取信息和数据成本较高而重要性又相对较低的指标，可以适当</w:t>
      </w:r>
      <w:r>
        <w:rPr>
          <w:rFonts w:hint="eastAsia" w:ascii="Times New Roman" w:eastAsia="宋体" w:hAnsiTheme="majorEastAsia" w:cstheme="majorEastAsia"/>
          <w:spacing w:val="-3"/>
          <w:sz w:val="28"/>
          <w:szCs w:val="32"/>
          <w:lang w:eastAsia="zh-CN"/>
        </w:rPr>
        <w:t>地</w:t>
      </w:r>
      <w:r>
        <w:rPr>
          <w:rFonts w:hint="eastAsia" w:ascii="Times New Roman" w:eastAsia="宋体" w:hAnsiTheme="majorEastAsia" w:cstheme="majorEastAsia"/>
          <w:spacing w:val="-3"/>
          <w:sz w:val="28"/>
          <w:szCs w:val="32"/>
        </w:rPr>
        <w:t>舍弃。对于那些获取数据和信息的成本高但重要性较高的指标，可以考虑用获取信息和数据成本较低的指标进行替换。同时，对疫情防控资金专项资金绩效评价不必要的和难以获取数据的指标不进行设置。</w:t>
      </w:r>
    </w:p>
    <w:p>
      <w:pPr>
        <w:spacing w:before="156" w:beforeLines="50" w:line="360" w:lineRule="auto"/>
        <w:jc w:val="left"/>
        <w:outlineLvl w:val="1"/>
        <w:rPr>
          <w:rFonts w:ascii="Times New Roman" w:eastAsia="宋体" w:hAnsiTheme="majorEastAsia" w:cstheme="majorEastAsia"/>
          <w:b/>
          <w:sz w:val="30"/>
        </w:rPr>
      </w:pPr>
      <w:bookmarkStart w:id="51" w:name="_Toc32316"/>
      <w:r>
        <w:rPr>
          <w:rFonts w:hint="eastAsia" w:ascii="Times New Roman" w:eastAsia="宋体" w:hAnsiTheme="majorEastAsia" w:cstheme="majorEastAsia"/>
          <w:b/>
          <w:bCs/>
          <w:spacing w:val="-3"/>
          <w:sz w:val="30"/>
          <w:szCs w:val="32"/>
        </w:rPr>
        <w:t>（三）绩效评价目的</w:t>
      </w:r>
      <w:bookmarkEnd w:id="51"/>
    </w:p>
    <w:p>
      <w:pPr>
        <w:pStyle w:val="10"/>
        <w:spacing w:line="360" w:lineRule="auto"/>
        <w:ind w:firstLine="548" w:firstLineChars="200"/>
        <w:jc w:val="left"/>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绩效评价的目的在于通过对德化县卫生健康局及18乡镇2022年疫情防控资金专项资金进行绩效评价，衡量项目资金的“产出”与“绩效”，了解、分析、检验项目是否达到预期目标，资金使用是否有效，以便更好地了解其对受助人群的帮助程度和改善生活质量的程度，为政府和社会组织制定更加科学合理的救助政策提供参考。全面落实中央决策部署和省委工作要求，科学精准防控，保障疫情防控所需的防护、诊断和治疗专用设备以及快速诊断试剂等物资采购，以及疫情防控</w:t>
      </w:r>
      <w:r>
        <w:rPr>
          <w:rFonts w:hint="eastAsia" w:ascii="Times New Roman" w:eastAsia="宋体" w:hAnsiTheme="majorEastAsia" w:cstheme="majorEastAsia"/>
          <w:spacing w:val="-3"/>
          <w:sz w:val="28"/>
          <w:szCs w:val="32"/>
          <w:lang w:eastAsia="zh-CN"/>
        </w:rPr>
        <w:t>必需的</w:t>
      </w:r>
      <w:r>
        <w:rPr>
          <w:rFonts w:hint="eastAsia" w:ascii="Times New Roman" w:eastAsia="宋体" w:hAnsiTheme="majorEastAsia" w:cstheme="majorEastAsia"/>
          <w:spacing w:val="-3"/>
          <w:sz w:val="28"/>
          <w:szCs w:val="32"/>
        </w:rPr>
        <w:t>其他支出，全力保障群众健康安全，遏制疫情扩散蔓延，为广大群众维护安全稳定生活环境</w:t>
      </w:r>
    </w:p>
    <w:p>
      <w:pPr>
        <w:pStyle w:val="10"/>
        <w:spacing w:before="156" w:beforeLines="50" w:line="360" w:lineRule="auto"/>
        <w:jc w:val="left"/>
        <w:outlineLvl w:val="1"/>
        <w:rPr>
          <w:rFonts w:ascii="Times New Roman" w:eastAsia="宋体" w:hAnsiTheme="majorEastAsia" w:cstheme="majorEastAsia"/>
          <w:b/>
          <w:sz w:val="30"/>
        </w:rPr>
      </w:pPr>
      <w:bookmarkStart w:id="52" w:name="_Toc22704"/>
      <w:r>
        <w:rPr>
          <w:rFonts w:hint="eastAsia" w:ascii="Times New Roman" w:eastAsia="宋体" w:hAnsiTheme="majorEastAsia" w:cstheme="majorEastAsia"/>
          <w:b/>
          <w:bCs/>
          <w:spacing w:val="-3"/>
          <w:sz w:val="30"/>
          <w:szCs w:val="32"/>
        </w:rPr>
        <w:t>（四）绩效评价方法</w:t>
      </w:r>
      <w:bookmarkEnd w:id="52"/>
    </w:p>
    <w:p>
      <w:pPr>
        <w:pStyle w:val="10"/>
        <w:spacing w:line="360" w:lineRule="auto"/>
        <w:ind w:firstLine="548" w:firstLineChars="200"/>
        <w:jc w:val="left"/>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根据《财政支出绩效评价管理暂行办法》（财预〔2011〕第285号），绩效评价指标确定应当遵循以下绩效评价方法。</w:t>
      </w:r>
    </w:p>
    <w:p>
      <w:pPr>
        <w:pStyle w:val="10"/>
        <w:spacing w:line="360" w:lineRule="auto"/>
        <w:ind w:firstLine="548" w:firstLineChars="200"/>
        <w:jc w:val="left"/>
        <w:rPr>
          <w:rFonts w:hint="eastAsia" w:ascii="Times New Roman" w:eastAsia="宋体" w:hAnsiTheme="majorEastAsia" w:cstheme="majorEastAsia"/>
          <w:spacing w:val="-3"/>
          <w:sz w:val="28"/>
          <w:szCs w:val="32"/>
          <w:lang w:eastAsia="zh-CN"/>
        </w:rPr>
      </w:pPr>
      <w:r>
        <w:rPr>
          <w:rFonts w:hint="eastAsia" w:ascii="Times New Roman" w:eastAsia="宋体" w:hAnsiTheme="majorEastAsia" w:cstheme="majorEastAsia"/>
          <w:spacing w:val="-3"/>
          <w:sz w:val="28"/>
          <w:szCs w:val="32"/>
        </w:rPr>
        <w:t>1.比较法。是指通过实际支出、实施效果等与绩效目标、历史情况、不同地区同类支出等的比较，综合分析绩效目标实现程度</w:t>
      </w:r>
      <w:r>
        <w:rPr>
          <w:rFonts w:hint="eastAsia" w:ascii="Times New Roman" w:eastAsia="宋体" w:hAnsiTheme="majorEastAsia" w:cstheme="majorEastAsia"/>
          <w:spacing w:val="-3"/>
          <w:sz w:val="28"/>
          <w:szCs w:val="32"/>
          <w:lang w:eastAsia="zh-CN"/>
        </w:rPr>
        <w:t>；</w:t>
      </w:r>
    </w:p>
    <w:p>
      <w:pPr>
        <w:pStyle w:val="10"/>
        <w:spacing w:line="360" w:lineRule="auto"/>
        <w:ind w:firstLine="548" w:firstLineChars="200"/>
        <w:jc w:val="left"/>
        <w:rPr>
          <w:rFonts w:hint="eastAsia" w:ascii="Times New Roman" w:eastAsia="宋体" w:hAnsiTheme="majorEastAsia" w:cstheme="majorEastAsia"/>
          <w:spacing w:val="-3"/>
          <w:sz w:val="28"/>
          <w:szCs w:val="32"/>
          <w:lang w:eastAsia="zh-CN"/>
        </w:rPr>
      </w:pPr>
      <w:r>
        <w:rPr>
          <w:rFonts w:hint="eastAsia" w:ascii="Times New Roman" w:eastAsia="宋体" w:hAnsiTheme="majorEastAsia" w:cstheme="majorEastAsia"/>
          <w:spacing w:val="-3"/>
          <w:sz w:val="28"/>
          <w:szCs w:val="32"/>
        </w:rPr>
        <w:t>2.成本效益分析法。是指将一定时期内的支出与效益进行对比分析，以评价绩效目标实现程度</w:t>
      </w:r>
      <w:r>
        <w:rPr>
          <w:rFonts w:hint="eastAsia" w:ascii="Times New Roman" w:eastAsia="宋体" w:hAnsiTheme="majorEastAsia" w:cstheme="majorEastAsia"/>
          <w:spacing w:val="-3"/>
          <w:sz w:val="28"/>
          <w:szCs w:val="32"/>
          <w:lang w:eastAsia="zh-CN"/>
        </w:rPr>
        <w:t>；</w:t>
      </w:r>
    </w:p>
    <w:p>
      <w:pPr>
        <w:pStyle w:val="10"/>
        <w:spacing w:line="360" w:lineRule="auto"/>
        <w:ind w:firstLine="548" w:firstLineChars="200"/>
        <w:jc w:val="left"/>
        <w:rPr>
          <w:rFonts w:ascii="Times New Roman" w:eastAsia="宋体" w:hAnsiTheme="majorEastAsia" w:cstheme="majorEastAsia"/>
          <w:spacing w:val="-3"/>
          <w:sz w:val="28"/>
          <w:szCs w:val="32"/>
        </w:rPr>
      </w:pPr>
      <w:r>
        <w:rPr>
          <w:rFonts w:hint="eastAsia" w:ascii="Times New Roman" w:eastAsia="宋体" w:hAnsiTheme="majorEastAsia" w:cstheme="majorEastAsia"/>
          <w:spacing w:val="-3"/>
          <w:sz w:val="28"/>
          <w:szCs w:val="32"/>
        </w:rPr>
        <w:t xml:space="preserve">3.服务对象评判法。是指通过对服务对象进行问卷及抽样调查等对财政支出的效果进行评判，评价绩效目标实现程度。 </w:t>
      </w:r>
    </w:p>
    <w:p>
      <w:pPr>
        <w:numPr>
          <w:ilvl w:val="0"/>
          <w:numId w:val="3"/>
        </w:numPr>
        <w:spacing w:before="156" w:beforeLines="50" w:line="360" w:lineRule="auto"/>
        <w:ind w:left="0"/>
        <w:jc w:val="left"/>
        <w:outlineLvl w:val="1"/>
        <w:rPr>
          <w:rFonts w:ascii="Times New Roman" w:eastAsia="宋体" w:hAnsiTheme="majorEastAsia" w:cstheme="majorEastAsia"/>
          <w:b/>
          <w:bCs/>
          <w:spacing w:val="-3"/>
          <w:sz w:val="30"/>
          <w:szCs w:val="32"/>
        </w:rPr>
      </w:pPr>
      <w:bookmarkStart w:id="53" w:name="_Toc2170"/>
      <w:r>
        <w:rPr>
          <w:rFonts w:hint="eastAsia" w:ascii="Times New Roman" w:eastAsia="宋体" w:hAnsiTheme="majorEastAsia" w:cstheme="majorEastAsia"/>
          <w:b/>
          <w:bCs/>
          <w:spacing w:val="-3"/>
          <w:sz w:val="30"/>
          <w:szCs w:val="32"/>
        </w:rPr>
        <w:t>绩效评价过程</w:t>
      </w:r>
      <w:bookmarkEnd w:id="53"/>
    </w:p>
    <w:p>
      <w:pPr>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hAnsiTheme="majorEastAsia" w:cstheme="majorEastAsia"/>
          <w:sz w:val="28"/>
          <w:szCs w:val="32"/>
        </w:rPr>
        <w:t>（1）单位经办人</w:t>
      </w:r>
      <w:r>
        <w:rPr>
          <w:rFonts w:hint="eastAsia" w:ascii="Times New Roman" w:eastAsia="宋体" w:hAnsiTheme="majorEastAsia" w:cstheme="majorEastAsia"/>
          <w:sz w:val="28"/>
          <w:szCs w:val="32"/>
          <w:lang w:val="en-US" w:eastAsia="zh-CN"/>
        </w:rPr>
        <w:t>走访与对接</w:t>
      </w:r>
      <w:r>
        <w:rPr>
          <w:rFonts w:hint="eastAsia" w:ascii="Times New Roman" w:eastAsia="宋体" w:hAnsiTheme="majorEastAsia" w:cstheme="majorEastAsia"/>
          <w:sz w:val="28"/>
          <w:szCs w:val="32"/>
        </w:rPr>
        <w:t>。德化县财政局绩效监督股及绩效评价小组与德化县卫生与健康局经办人及18乡镇负责人进行联系</w:t>
      </w:r>
      <w:r>
        <w:rPr>
          <w:rFonts w:hint="eastAsia" w:ascii="Times New Roman" w:eastAsia="宋体" w:hAnsiTheme="majorEastAsia" w:cstheme="majorEastAsia"/>
          <w:sz w:val="28"/>
          <w:szCs w:val="32"/>
          <w:lang w:eastAsia="zh-CN"/>
        </w:rPr>
        <w:t>，</w:t>
      </w:r>
      <w:r>
        <w:rPr>
          <w:rFonts w:hint="eastAsia" w:ascii="Times New Roman" w:eastAsia="宋体" w:hAnsiTheme="majorEastAsia" w:cstheme="majorEastAsia"/>
          <w:sz w:val="28"/>
          <w:szCs w:val="32"/>
        </w:rPr>
        <w:t>就疫情防控经费项目进行对接。</w:t>
      </w:r>
    </w:p>
    <w:p>
      <w:pPr>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hAnsiTheme="majorEastAsia" w:cstheme="majorEastAsia"/>
          <w:sz w:val="28"/>
          <w:szCs w:val="32"/>
        </w:rPr>
        <w:t>（2）收集资料。向预算单位下发绩效评价基础资料清单，收集相关的绩效评价资料。</w:t>
      </w:r>
    </w:p>
    <w:p>
      <w:pPr>
        <w:spacing w:line="360" w:lineRule="auto"/>
        <w:ind w:firstLine="560" w:firstLineChars="200"/>
        <w:jc w:val="left"/>
        <w:rPr>
          <w:rFonts w:hint="eastAsia" w:ascii="Times New Roman" w:eastAsia="宋体" w:hAnsiTheme="majorEastAsia" w:cstheme="majorEastAsia"/>
          <w:sz w:val="28"/>
          <w:szCs w:val="32"/>
        </w:rPr>
      </w:pPr>
      <w:r>
        <w:rPr>
          <w:rFonts w:hint="eastAsia" w:ascii="Times New Roman" w:eastAsia="宋体" w:hAnsiTheme="majorEastAsia" w:cstheme="majorEastAsia"/>
          <w:sz w:val="28"/>
          <w:szCs w:val="32"/>
        </w:rPr>
        <w:t>（3）建立绩效评价指标体系。从预算单位提供的资料中提取关键指标，并形成绩效体系指标及评分标准。</w:t>
      </w:r>
    </w:p>
    <w:p>
      <w:pPr>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hAnsiTheme="majorEastAsia" w:cstheme="majorEastAsia"/>
          <w:sz w:val="28"/>
          <w:szCs w:val="32"/>
        </w:rPr>
        <w:t>（4）采取现场座谈、实地调研补充相关资料。对18乡镇及相关主管部门走访。</w:t>
      </w:r>
    </w:p>
    <w:p>
      <w:pPr>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hAnsiTheme="majorEastAsia" w:cstheme="majorEastAsia"/>
          <w:sz w:val="28"/>
          <w:szCs w:val="32"/>
        </w:rPr>
        <w:t>（5）征求意见稿。征求财政局和预算单位的意见。根据财政局及预算单位意见进行修改。</w:t>
      </w:r>
    </w:p>
    <w:p>
      <w:pPr>
        <w:pStyle w:val="10"/>
        <w:spacing w:line="360" w:lineRule="auto"/>
        <w:ind w:firstLine="560" w:firstLineChars="200"/>
        <w:jc w:val="left"/>
        <w:outlineLvl w:val="2"/>
        <w:rPr>
          <w:rFonts w:ascii="Times New Roman" w:eastAsia="宋体" w:hAnsiTheme="majorEastAsia" w:cstheme="majorEastAsia"/>
          <w:sz w:val="28"/>
          <w:szCs w:val="32"/>
        </w:rPr>
      </w:pPr>
      <w:bookmarkStart w:id="54" w:name="_Toc31586"/>
      <w:bookmarkStart w:id="55" w:name="_Toc22433"/>
      <w:bookmarkStart w:id="56" w:name="_Toc12057"/>
      <w:bookmarkStart w:id="57" w:name="_Toc22701"/>
      <w:r>
        <w:rPr>
          <w:rFonts w:hint="eastAsia" w:ascii="Times New Roman" w:eastAsia="宋体" w:hAnsiTheme="majorEastAsia" w:cstheme="majorEastAsia"/>
          <w:sz w:val="28"/>
          <w:szCs w:val="32"/>
        </w:rPr>
        <w:t>（6）经过专家评审、校对和审核后，提交报告，装订成册。</w:t>
      </w:r>
      <w:bookmarkEnd w:id="54"/>
      <w:bookmarkEnd w:id="55"/>
      <w:bookmarkEnd w:id="56"/>
      <w:bookmarkEnd w:id="57"/>
      <w:r>
        <w:rPr>
          <w:rFonts w:hint="eastAsia" w:ascii="Times New Roman" w:eastAsia="宋体" w:hAnsiTheme="majorEastAsia" w:cstheme="majorEastAsia"/>
          <w:sz w:val="28"/>
          <w:szCs w:val="32"/>
        </w:rPr>
        <w:t xml:space="preserve"> </w:t>
      </w:r>
    </w:p>
    <w:p>
      <w:pPr>
        <w:pStyle w:val="10"/>
        <w:spacing w:before="156" w:beforeLines="50" w:line="360" w:lineRule="auto"/>
        <w:jc w:val="left"/>
        <w:outlineLvl w:val="1"/>
        <w:rPr>
          <w:rFonts w:ascii="Times New Roman" w:eastAsia="宋体" w:hAnsiTheme="majorEastAsia" w:cstheme="majorEastAsia"/>
          <w:b/>
          <w:bCs/>
          <w:spacing w:val="-3"/>
          <w:sz w:val="30"/>
          <w:szCs w:val="32"/>
        </w:rPr>
      </w:pPr>
      <w:bookmarkStart w:id="58" w:name="_Toc32499"/>
      <w:r>
        <w:rPr>
          <w:rFonts w:hint="eastAsia" w:ascii="Times New Roman" w:eastAsia="宋体" w:hAnsiTheme="majorEastAsia" w:cstheme="majorEastAsia"/>
          <w:b/>
          <w:bCs/>
          <w:spacing w:val="-3"/>
          <w:sz w:val="30"/>
          <w:szCs w:val="32"/>
        </w:rPr>
        <w:t>（六）绩效评价指标体系及评分标准</w:t>
      </w:r>
      <w:bookmarkEnd w:id="58"/>
    </w:p>
    <w:p>
      <w:pPr>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hAnsiTheme="majorEastAsia" w:cstheme="majorEastAsia"/>
          <w:sz w:val="28"/>
          <w:szCs w:val="32"/>
        </w:rPr>
        <w:t>疫情防控资金绩效评价指标体系的构建主要有两方面的目的：一是疫情防控资金绩效评价指标体系可以用来对疫情防控资金制度的运行情况进行科学分析，为政府部门的决策制定与规划提供合理依据。二是疫情防控资金绩效评价指标体系用来评价和考核政府部门和工作人员疫情防控资金的工作情况。</w:t>
      </w:r>
    </w:p>
    <w:p>
      <w:pPr>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hAnsiTheme="majorEastAsia" w:cstheme="majorEastAsia"/>
          <w:sz w:val="28"/>
          <w:szCs w:val="32"/>
        </w:rPr>
        <w:t>绩效评价的指标体系分为两个层级：一级指标和二级指标。其中，一级指标是评价维度，是总目标的具体化；二级指标是对一级指标的进一步细化，是可以进行量化测量的指标。二级指标中</w:t>
      </w:r>
      <w:r>
        <w:rPr>
          <w:rFonts w:hint="eastAsia" w:ascii="Times New Roman" w:eastAsia="宋体" w:hAnsiTheme="majorEastAsia" w:cstheme="majorEastAsia"/>
          <w:sz w:val="28"/>
          <w:szCs w:val="32"/>
          <w:lang w:eastAsia="zh-CN"/>
        </w:rPr>
        <w:t>以定量指标为主</w:t>
      </w:r>
      <w:r>
        <w:rPr>
          <w:rFonts w:hint="eastAsia" w:ascii="Times New Roman" w:eastAsia="宋体" w:hAnsiTheme="majorEastAsia" w:cstheme="majorEastAsia"/>
          <w:sz w:val="28"/>
          <w:szCs w:val="32"/>
        </w:rPr>
        <w:t>，少数指标是根据工作开展的实际情况进行设定的定性指标。</w:t>
      </w:r>
    </w:p>
    <w:p>
      <w:pPr>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hAnsiTheme="majorEastAsia" w:cstheme="majorEastAsia"/>
          <w:sz w:val="28"/>
          <w:szCs w:val="32"/>
        </w:rPr>
        <w:t>按照疫情防控资金专项资金的实施过程，并参照德化县卫生健康局2022年度绩效目标，疫情防控资金专项资金绩效评价指标体系绩效指标</w:t>
      </w:r>
      <w:r>
        <w:rPr>
          <w:rFonts w:hint="eastAsia" w:ascii="Times New Roman" w:eastAsia="宋体" w:hAnsiTheme="majorEastAsia" w:cstheme="majorEastAsia"/>
          <w:sz w:val="28"/>
          <w:szCs w:val="32"/>
          <w:highlight w:val="none"/>
        </w:rPr>
        <w:t>体系共设置4个一级指标、1</w:t>
      </w:r>
      <w:r>
        <w:rPr>
          <w:rFonts w:hint="eastAsia" w:ascii="Times New Roman" w:eastAsia="宋体" w:hAnsiTheme="majorEastAsia" w:cstheme="majorEastAsia"/>
          <w:sz w:val="28"/>
          <w:szCs w:val="32"/>
          <w:highlight w:val="none"/>
          <w:lang w:val="en-US" w:eastAsia="zh-CN"/>
        </w:rPr>
        <w:t>5</w:t>
      </w:r>
      <w:r>
        <w:rPr>
          <w:rFonts w:hint="eastAsia" w:ascii="Times New Roman" w:eastAsia="宋体" w:hAnsiTheme="majorEastAsia" w:cstheme="majorEastAsia"/>
          <w:sz w:val="28"/>
          <w:szCs w:val="32"/>
          <w:highlight w:val="none"/>
        </w:rPr>
        <w:t>个二级指标和</w:t>
      </w:r>
      <w:r>
        <w:rPr>
          <w:rFonts w:hint="eastAsia" w:ascii="Times New Roman" w:eastAsia="宋体" w:hAnsiTheme="majorEastAsia" w:cstheme="majorEastAsia"/>
          <w:sz w:val="28"/>
          <w:szCs w:val="32"/>
          <w:highlight w:val="none"/>
          <w:lang w:val="en-US" w:eastAsia="zh-CN"/>
        </w:rPr>
        <w:t>31</w:t>
      </w:r>
      <w:r>
        <w:rPr>
          <w:rFonts w:hint="eastAsia" w:ascii="Times New Roman" w:eastAsia="宋体" w:hAnsiTheme="majorEastAsia" w:cstheme="majorEastAsia"/>
          <w:sz w:val="28"/>
          <w:szCs w:val="32"/>
          <w:highlight w:val="none"/>
        </w:rPr>
        <w:t>个三</w:t>
      </w:r>
      <w:r>
        <w:rPr>
          <w:rFonts w:hint="eastAsia" w:ascii="Times New Roman" w:eastAsia="宋体" w:hAnsiTheme="majorEastAsia" w:cstheme="majorEastAsia"/>
          <w:sz w:val="28"/>
          <w:szCs w:val="32"/>
        </w:rPr>
        <w:t>级指标。一级指标为决策、过程、产出和效益。其中：“决策”15分，主要体现项目立项、绩效目标和资金投入情况；“过程”</w:t>
      </w:r>
      <w:r>
        <w:rPr>
          <w:rFonts w:hint="eastAsia" w:ascii="Times New Roman" w:eastAsia="宋体" w:hAnsiTheme="majorEastAsia" w:cstheme="majorEastAsia"/>
          <w:sz w:val="28"/>
          <w:szCs w:val="32"/>
          <w:lang w:val="en-US" w:eastAsia="zh-CN"/>
        </w:rPr>
        <w:t>20</w:t>
      </w:r>
      <w:r>
        <w:rPr>
          <w:rFonts w:hint="eastAsia" w:ascii="Times New Roman" w:eastAsia="宋体" w:hAnsiTheme="majorEastAsia" w:cstheme="majorEastAsia"/>
          <w:sz w:val="28"/>
          <w:szCs w:val="32"/>
        </w:rPr>
        <w:t>分，主要体现资金管理、组织实施和绩效管理方面的情况；“产出”</w:t>
      </w:r>
      <w:r>
        <w:rPr>
          <w:rFonts w:hint="eastAsia" w:ascii="Times New Roman" w:eastAsia="宋体" w:hAnsiTheme="majorEastAsia" w:cstheme="majorEastAsia"/>
          <w:sz w:val="28"/>
          <w:szCs w:val="32"/>
          <w:lang w:val="en-US" w:eastAsia="zh-CN"/>
        </w:rPr>
        <w:t>35</w:t>
      </w:r>
      <w:r>
        <w:rPr>
          <w:rFonts w:hint="eastAsia" w:ascii="Times New Roman" w:eastAsia="宋体" w:hAnsiTheme="majorEastAsia" w:cstheme="majorEastAsia"/>
          <w:sz w:val="28"/>
          <w:szCs w:val="32"/>
        </w:rPr>
        <w:t>分，主要体现产出数量、产出质量、产出时效、产出成本情况；“效益”30 分，主要体现实施后的经济效益、社会效益、可持续影响效益和服务对象满意度等。指标体系设定满分100分，评分等级：总分大于90分（含90分）为“优”，90﹥总分≥80，为“良”，80﹥总分≥60为“中”，低于60分则为“差”。</w:t>
      </w:r>
    </w:p>
    <w:p>
      <w:pPr>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hAnsiTheme="majorEastAsia" w:cstheme="majorEastAsia"/>
          <w:sz w:val="28"/>
          <w:szCs w:val="32"/>
        </w:rPr>
        <w:t>依据财政部《项目支出绩效评价管理办法》（财预〔2020〕10号）文件精神，绩效评价标准有以下3种：</w:t>
      </w:r>
    </w:p>
    <w:p>
      <w:pPr>
        <w:spacing w:line="360" w:lineRule="auto"/>
        <w:ind w:firstLine="560" w:firstLineChars="200"/>
        <w:jc w:val="left"/>
        <w:rPr>
          <w:rFonts w:hint="eastAsia" w:ascii="Times New Roman" w:eastAsia="宋体" w:hAnsiTheme="majorEastAsia" w:cstheme="majorEastAsia"/>
          <w:sz w:val="28"/>
          <w:szCs w:val="32"/>
          <w:lang w:eastAsia="zh-CN"/>
        </w:rPr>
      </w:pPr>
      <w:r>
        <w:rPr>
          <w:rFonts w:hint="eastAsia" w:ascii="Times New Roman" w:eastAsia="宋体" w:hAnsiTheme="majorEastAsia" w:cstheme="majorEastAsia"/>
          <w:sz w:val="28"/>
          <w:szCs w:val="32"/>
        </w:rPr>
        <w:t>（1）计划标准。是指以预先制定的目标、计划、预算、定额等数据作为评价的标准</w:t>
      </w:r>
      <w:r>
        <w:rPr>
          <w:rFonts w:hint="eastAsia" w:ascii="Times New Roman" w:eastAsia="宋体" w:hAnsiTheme="majorEastAsia" w:cstheme="majorEastAsia"/>
          <w:sz w:val="28"/>
          <w:szCs w:val="32"/>
          <w:lang w:eastAsia="zh-CN"/>
        </w:rPr>
        <w:t>；</w:t>
      </w:r>
    </w:p>
    <w:p>
      <w:pPr>
        <w:spacing w:line="360" w:lineRule="auto"/>
        <w:ind w:firstLine="560" w:firstLineChars="200"/>
        <w:jc w:val="left"/>
        <w:rPr>
          <w:rFonts w:hint="eastAsia" w:ascii="Times New Roman" w:eastAsia="宋体" w:hAnsiTheme="majorEastAsia" w:cstheme="majorEastAsia"/>
          <w:sz w:val="28"/>
          <w:szCs w:val="32"/>
          <w:lang w:eastAsia="zh-CN"/>
        </w:rPr>
      </w:pPr>
      <w:r>
        <w:rPr>
          <w:rFonts w:hint="eastAsia" w:ascii="Times New Roman" w:eastAsia="宋体" w:hAnsiTheme="majorEastAsia" w:cstheme="majorEastAsia"/>
          <w:sz w:val="28"/>
          <w:szCs w:val="32"/>
        </w:rPr>
        <w:t>（2）行业标准。是指参照国家公布的行业指标数据制定的评价标准</w:t>
      </w:r>
      <w:r>
        <w:rPr>
          <w:rFonts w:hint="eastAsia" w:ascii="Times New Roman" w:eastAsia="宋体" w:hAnsiTheme="majorEastAsia" w:cstheme="majorEastAsia"/>
          <w:sz w:val="28"/>
          <w:szCs w:val="32"/>
          <w:lang w:eastAsia="zh-CN"/>
        </w:rPr>
        <w:t>；</w:t>
      </w:r>
    </w:p>
    <w:p>
      <w:pPr>
        <w:spacing w:line="360" w:lineRule="auto"/>
        <w:ind w:firstLine="560" w:firstLineChars="200"/>
        <w:jc w:val="left"/>
        <w:outlineLvl w:val="2"/>
        <w:rPr>
          <w:rFonts w:hint="eastAsia" w:ascii="Times New Roman" w:eastAsia="宋体" w:hAnsiTheme="majorEastAsia" w:cstheme="majorEastAsia"/>
          <w:sz w:val="28"/>
          <w:szCs w:val="32"/>
          <w:lang w:eastAsia="zh-CN"/>
        </w:rPr>
      </w:pPr>
      <w:bookmarkStart w:id="59" w:name="_Toc21297"/>
      <w:bookmarkStart w:id="60" w:name="_Toc15942"/>
      <w:bookmarkStart w:id="61" w:name="_Toc18612"/>
      <w:bookmarkStart w:id="62" w:name="_Toc4248"/>
      <w:bookmarkStart w:id="63" w:name="_Toc20154"/>
      <w:r>
        <w:rPr>
          <w:rFonts w:hint="eastAsia" w:ascii="Times New Roman" w:eastAsia="宋体" w:hAnsiTheme="majorEastAsia" w:cstheme="majorEastAsia"/>
          <w:sz w:val="28"/>
          <w:szCs w:val="32"/>
        </w:rPr>
        <w:t>（3）历史标准。是指参照同类指标的历史数据制定的评价标准</w:t>
      </w:r>
      <w:bookmarkEnd w:id="59"/>
      <w:bookmarkEnd w:id="60"/>
      <w:bookmarkEnd w:id="61"/>
      <w:bookmarkEnd w:id="62"/>
      <w:bookmarkEnd w:id="63"/>
      <w:r>
        <w:rPr>
          <w:rFonts w:hint="eastAsia" w:ascii="Times New Roman" w:eastAsia="宋体" w:hAnsiTheme="majorEastAsia" w:cstheme="majorEastAsia"/>
          <w:sz w:val="28"/>
          <w:szCs w:val="32"/>
          <w:lang w:eastAsia="zh-CN"/>
        </w:rPr>
        <w:t>；</w:t>
      </w:r>
    </w:p>
    <w:p>
      <w:pPr>
        <w:spacing w:line="360" w:lineRule="auto"/>
        <w:ind w:firstLine="560" w:firstLineChars="200"/>
        <w:jc w:val="left"/>
        <w:rPr>
          <w:rFonts w:ascii="Times New Roman" w:eastAsia="宋体" w:hAnsiTheme="majorEastAsia" w:cstheme="majorEastAsia"/>
          <w:sz w:val="28"/>
          <w:szCs w:val="32"/>
        </w:rPr>
      </w:pPr>
      <w:r>
        <w:rPr>
          <w:rFonts w:hint="eastAsia" w:ascii="Times New Roman" w:eastAsia="宋体" w:hAnsiTheme="majorEastAsia" w:cstheme="majorEastAsia"/>
          <w:sz w:val="28"/>
          <w:szCs w:val="32"/>
        </w:rPr>
        <w:t>评价组根据2022年度疫情防控资金项目实施的实际情况，采用计划标准和行业标准对该项目绩效目标完成度进行评价。</w:t>
      </w:r>
    </w:p>
    <w:p>
      <w:pPr>
        <w:spacing w:line="360" w:lineRule="auto"/>
        <w:ind w:firstLine="578" w:firstLineChars="200"/>
        <w:jc w:val="left"/>
        <w:outlineLvl w:val="0"/>
        <w:rPr>
          <w:rFonts w:ascii="Times New Roman" w:eastAsia="宋体" w:hAnsiTheme="majorEastAsia" w:cstheme="majorEastAsia"/>
          <w:b/>
          <w:bCs/>
          <w:spacing w:val="4"/>
          <w:sz w:val="28"/>
          <w:szCs w:val="32"/>
        </w:rPr>
      </w:pPr>
      <w:bookmarkStart w:id="64" w:name="_Toc31506"/>
      <w:bookmarkStart w:id="65" w:name="_Toc22572"/>
      <w:bookmarkStart w:id="66" w:name="_Toc23776"/>
      <w:bookmarkStart w:id="67" w:name="_Toc7749"/>
      <w:bookmarkStart w:id="68" w:name="_Toc23790"/>
      <w:bookmarkStart w:id="69" w:name="_Toc6891"/>
      <w:r>
        <w:rPr>
          <w:rFonts w:hint="eastAsia" w:ascii="Times New Roman" w:eastAsia="宋体" w:hAnsiTheme="majorEastAsia" w:cstheme="majorEastAsia"/>
          <w:b/>
          <w:bCs/>
          <w:spacing w:val="4"/>
          <w:sz w:val="28"/>
          <w:szCs w:val="32"/>
        </w:rPr>
        <w:t>2022年度德化县疫情防控资金专项资金绩效评价指标及评价标准</w:t>
      </w:r>
      <w:bookmarkEnd w:id="64"/>
      <w:bookmarkEnd w:id="65"/>
      <w:bookmarkEnd w:id="66"/>
      <w:bookmarkEnd w:id="67"/>
      <w:bookmarkEnd w:id="68"/>
      <w:bookmarkEnd w:id="69"/>
    </w:p>
    <w:tbl>
      <w:tblPr>
        <w:tblStyle w:val="29"/>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953"/>
        <w:gridCol w:w="1339"/>
        <w:gridCol w:w="2213"/>
        <w:gridCol w:w="2973"/>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8" w:type="dxa"/>
            <w:vAlign w:val="center"/>
          </w:tcPr>
          <w:p>
            <w:pPr>
              <w:jc w:val="center"/>
              <w:rPr>
                <w:rFonts w:ascii="宋体" w:hAnsi="宋体" w:eastAsia="宋体" w:cs="宋体"/>
                <w:b/>
                <w:bCs/>
                <w:kern w:val="0"/>
                <w:sz w:val="18"/>
                <w:szCs w:val="18"/>
              </w:rPr>
            </w:pPr>
            <w:r>
              <w:rPr>
                <w:rFonts w:hint="eastAsia" w:ascii="宋体" w:hAnsi="宋体" w:eastAsia="宋体" w:cs="宋体"/>
                <w:b/>
                <w:bCs/>
                <w:sz w:val="18"/>
                <w:szCs w:val="18"/>
              </w:rPr>
              <w:t>一级指标</w:t>
            </w:r>
          </w:p>
        </w:tc>
        <w:tc>
          <w:tcPr>
            <w:tcW w:w="953" w:type="dxa"/>
            <w:vAlign w:val="center"/>
          </w:tcPr>
          <w:p>
            <w:pPr>
              <w:jc w:val="center"/>
              <w:rPr>
                <w:rFonts w:ascii="宋体" w:hAnsi="宋体" w:eastAsia="宋体" w:cs="宋体"/>
                <w:b/>
                <w:bCs/>
                <w:kern w:val="0"/>
                <w:sz w:val="18"/>
                <w:szCs w:val="18"/>
              </w:rPr>
            </w:pPr>
            <w:r>
              <w:rPr>
                <w:rFonts w:hint="eastAsia" w:ascii="宋体" w:hAnsi="宋体" w:eastAsia="宋体" w:cs="宋体"/>
                <w:b/>
                <w:bCs/>
                <w:sz w:val="18"/>
                <w:szCs w:val="18"/>
              </w:rPr>
              <w:t>二级指标</w:t>
            </w:r>
          </w:p>
        </w:tc>
        <w:tc>
          <w:tcPr>
            <w:tcW w:w="1339" w:type="dxa"/>
            <w:vAlign w:val="center"/>
          </w:tcPr>
          <w:p>
            <w:pPr>
              <w:jc w:val="center"/>
              <w:rPr>
                <w:rFonts w:ascii="宋体" w:hAnsi="宋体" w:eastAsia="宋体" w:cs="宋体"/>
                <w:b/>
                <w:bCs/>
                <w:kern w:val="0"/>
                <w:sz w:val="18"/>
                <w:szCs w:val="18"/>
              </w:rPr>
            </w:pPr>
            <w:r>
              <w:rPr>
                <w:rFonts w:hint="eastAsia" w:ascii="宋体" w:hAnsi="宋体" w:eastAsia="宋体" w:cs="宋体"/>
                <w:b/>
                <w:bCs/>
                <w:sz w:val="18"/>
                <w:szCs w:val="18"/>
              </w:rPr>
              <w:t>三级指标</w:t>
            </w:r>
          </w:p>
        </w:tc>
        <w:tc>
          <w:tcPr>
            <w:tcW w:w="2213" w:type="dxa"/>
            <w:vAlign w:val="center"/>
          </w:tcPr>
          <w:p>
            <w:pPr>
              <w:widowControl/>
              <w:jc w:val="center"/>
              <w:textAlignment w:val="center"/>
              <w:rPr>
                <w:rFonts w:ascii="宋体" w:hAnsi="宋体" w:eastAsia="宋体" w:cs="宋体"/>
                <w:b/>
                <w:bCs/>
                <w:sz w:val="18"/>
                <w:szCs w:val="18"/>
              </w:rPr>
            </w:pPr>
            <w:r>
              <w:rPr>
                <w:rFonts w:hint="eastAsia" w:ascii="宋体" w:hAnsi="宋体" w:eastAsia="宋体" w:cs="宋体"/>
                <w:b/>
                <w:color w:val="000000"/>
                <w:kern w:val="0"/>
                <w:sz w:val="18"/>
                <w:szCs w:val="18"/>
              </w:rPr>
              <w:t>指标解释</w:t>
            </w:r>
          </w:p>
        </w:tc>
        <w:tc>
          <w:tcPr>
            <w:tcW w:w="2973" w:type="dxa"/>
            <w:vAlign w:val="center"/>
          </w:tcPr>
          <w:p>
            <w:pPr>
              <w:jc w:val="center"/>
              <w:rPr>
                <w:rFonts w:ascii="宋体" w:hAnsi="宋体" w:eastAsia="宋体" w:cs="宋体"/>
                <w:b/>
                <w:bCs/>
                <w:kern w:val="0"/>
                <w:sz w:val="18"/>
                <w:szCs w:val="18"/>
              </w:rPr>
            </w:pPr>
            <w:r>
              <w:rPr>
                <w:rFonts w:hint="eastAsia" w:ascii="宋体" w:hAnsi="宋体" w:eastAsia="宋体" w:cs="宋体"/>
                <w:b/>
                <w:bCs/>
                <w:sz w:val="18"/>
                <w:szCs w:val="18"/>
              </w:rPr>
              <w:t>评分标准</w:t>
            </w:r>
          </w:p>
        </w:tc>
        <w:tc>
          <w:tcPr>
            <w:tcW w:w="809"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08" w:type="dxa"/>
            <w:vMerge w:val="restart"/>
            <w:vAlign w:val="center"/>
          </w:tcPr>
          <w:p>
            <w:pPr>
              <w:ind w:firstLine="181" w:firstLineChars="100"/>
              <w:rPr>
                <w:rFonts w:ascii="宋体" w:hAnsi="宋体" w:eastAsia="宋体" w:cs="宋体"/>
                <w:b/>
                <w:bCs/>
                <w:kern w:val="0"/>
                <w:sz w:val="18"/>
                <w:szCs w:val="18"/>
              </w:rPr>
            </w:pPr>
            <w:r>
              <w:rPr>
                <w:rFonts w:hint="eastAsia" w:ascii="宋体" w:hAnsi="宋体" w:eastAsia="宋体" w:cs="宋体"/>
                <w:b/>
                <w:bCs/>
                <w:kern w:val="0"/>
                <w:sz w:val="18"/>
                <w:szCs w:val="18"/>
              </w:rPr>
              <w:t>决 策</w:t>
            </w:r>
          </w:p>
          <w:p>
            <w:pPr>
              <w:jc w:val="center"/>
              <w:rPr>
                <w:rFonts w:ascii="宋体" w:hAnsi="宋体" w:eastAsia="宋体" w:cs="宋体"/>
                <w:b/>
                <w:bCs/>
                <w:kern w:val="0"/>
                <w:sz w:val="18"/>
                <w:szCs w:val="18"/>
              </w:rPr>
            </w:pPr>
            <w:r>
              <w:rPr>
                <w:rFonts w:hint="eastAsia" w:ascii="宋体" w:hAnsi="宋体" w:eastAsia="宋体" w:cs="宋体"/>
                <w:b/>
                <w:bCs/>
                <w:kern w:val="0"/>
                <w:sz w:val="18"/>
                <w:szCs w:val="18"/>
              </w:rPr>
              <w:t>（15分）</w:t>
            </w:r>
          </w:p>
        </w:tc>
        <w:tc>
          <w:tcPr>
            <w:tcW w:w="953" w:type="dxa"/>
            <w:vMerge w:val="restart"/>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项目立项</w:t>
            </w:r>
          </w:p>
          <w:p>
            <w:pPr>
              <w:jc w:val="center"/>
              <w:rPr>
                <w:rFonts w:ascii="宋体" w:hAnsi="宋体" w:eastAsia="宋体" w:cs="宋体"/>
                <w:kern w:val="0"/>
                <w:sz w:val="18"/>
                <w:szCs w:val="18"/>
              </w:rPr>
            </w:pPr>
            <w:r>
              <w:rPr>
                <w:rFonts w:hint="eastAsia" w:ascii="宋体" w:hAnsi="宋体" w:eastAsia="宋体" w:cs="宋体"/>
                <w:kern w:val="0"/>
                <w:sz w:val="18"/>
                <w:szCs w:val="18"/>
              </w:rPr>
              <w:t>（4分）</w:t>
            </w:r>
          </w:p>
        </w:tc>
        <w:tc>
          <w:tcPr>
            <w:tcW w:w="1339" w:type="dxa"/>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立项依据</w:t>
            </w:r>
          </w:p>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充分性</w:t>
            </w:r>
          </w:p>
          <w:p>
            <w:pPr>
              <w:jc w:val="center"/>
              <w:rPr>
                <w:rFonts w:ascii="宋体" w:hAnsi="宋体" w:eastAsia="宋体" w:cs="宋体"/>
                <w:kern w:val="0"/>
                <w:sz w:val="18"/>
                <w:szCs w:val="18"/>
              </w:rPr>
            </w:pPr>
            <w:r>
              <w:rPr>
                <w:rFonts w:hint="eastAsia" w:ascii="宋体" w:hAnsi="宋体" w:eastAsia="宋体" w:cs="宋体"/>
                <w:kern w:val="0"/>
                <w:sz w:val="18"/>
                <w:szCs w:val="18"/>
              </w:rPr>
              <w:t>（2分）</w:t>
            </w:r>
          </w:p>
        </w:tc>
        <w:tc>
          <w:tcPr>
            <w:tcW w:w="2213" w:type="dxa"/>
            <w:vAlign w:val="center"/>
          </w:tcPr>
          <w:p>
            <w:pPr>
              <w:widowControl/>
              <w:textAlignment w:val="center"/>
              <w:rPr>
                <w:rFonts w:ascii="宋体" w:hAnsi="宋体" w:eastAsia="宋体" w:cs="宋体"/>
                <w:kern w:val="0"/>
                <w:sz w:val="18"/>
                <w:szCs w:val="18"/>
              </w:rPr>
            </w:pPr>
            <w:r>
              <w:rPr>
                <w:rFonts w:hint="eastAsia" w:ascii="宋体" w:hAnsi="宋体" w:eastAsia="宋体" w:cs="宋体"/>
                <w:bCs/>
                <w:color w:val="000000"/>
                <w:kern w:val="0"/>
                <w:sz w:val="18"/>
                <w:szCs w:val="18"/>
              </w:rPr>
              <w:t>项目立项是否符合法律法规、相关政策、发展规划以及部门职责，用以反映和考核项目立项依据情况。</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①项目立项是否符合国家法律法规、国民经济发展规划和相关政策；</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②项目立项是否符合行业发展规划和政策要求；</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③项目立项是否与部门职责范围相符，属于部门履职所需；</w:t>
            </w:r>
          </w:p>
          <w:p>
            <w:pPr>
              <w:widowControl/>
              <w:spacing w:line="0" w:lineRule="atLeas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④项目是否属于公共财政支持范围，是否符合中央、地方事权支出责任划分原则</w:t>
            </w:r>
            <w:r>
              <w:rPr>
                <w:rFonts w:hint="eastAsia" w:ascii="宋体" w:hAnsi="宋体" w:eastAsia="宋体" w:cs="宋体"/>
                <w:kern w:val="0"/>
                <w:sz w:val="18"/>
                <w:szCs w:val="18"/>
                <w:lang w:eastAsia="zh-CN"/>
              </w:rPr>
              <w:t>。</w:t>
            </w:r>
          </w:p>
          <w:p>
            <w:pPr>
              <w:rPr>
                <w:rFonts w:ascii="宋体" w:hAnsi="宋体" w:eastAsia="宋体" w:cs="宋体"/>
                <w:kern w:val="0"/>
                <w:sz w:val="18"/>
                <w:szCs w:val="18"/>
              </w:rPr>
            </w:pPr>
            <w:r>
              <w:rPr>
                <w:rFonts w:hint="eastAsia" w:ascii="宋体" w:hAnsi="宋体" w:eastAsia="宋体" w:cs="宋体"/>
                <w:kern w:val="0"/>
                <w:sz w:val="18"/>
                <w:szCs w:val="18"/>
              </w:rPr>
              <w:t>一项不符合扣0.5分，严重的此项完全不得分。</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立项程序</w:t>
            </w:r>
          </w:p>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规范性</w:t>
            </w:r>
          </w:p>
          <w:p>
            <w:pPr>
              <w:jc w:val="center"/>
              <w:rPr>
                <w:rFonts w:ascii="宋体" w:hAnsi="宋体" w:eastAsia="宋体" w:cs="宋体"/>
                <w:kern w:val="0"/>
                <w:sz w:val="18"/>
                <w:szCs w:val="18"/>
              </w:rPr>
            </w:pPr>
            <w:r>
              <w:rPr>
                <w:rFonts w:hint="eastAsia" w:ascii="宋体" w:hAnsi="宋体" w:eastAsia="宋体" w:cs="宋体"/>
                <w:kern w:val="0"/>
                <w:sz w:val="18"/>
                <w:szCs w:val="18"/>
              </w:rPr>
              <w:t>（2分）</w:t>
            </w:r>
          </w:p>
        </w:tc>
        <w:tc>
          <w:tcPr>
            <w:tcW w:w="2213" w:type="dxa"/>
            <w:vAlign w:val="center"/>
          </w:tcPr>
          <w:p>
            <w:pPr>
              <w:widowControl/>
              <w:textAlignment w:val="center"/>
              <w:rPr>
                <w:rFonts w:ascii="宋体" w:hAnsi="宋体" w:eastAsia="宋体" w:cs="宋体"/>
                <w:kern w:val="0"/>
                <w:sz w:val="18"/>
                <w:szCs w:val="18"/>
              </w:rPr>
            </w:pPr>
            <w:r>
              <w:rPr>
                <w:rFonts w:hint="eastAsia" w:ascii="宋体" w:hAnsi="宋体" w:eastAsia="宋体" w:cs="宋体"/>
                <w:bCs/>
                <w:color w:val="000000"/>
                <w:kern w:val="0"/>
                <w:sz w:val="18"/>
                <w:szCs w:val="18"/>
              </w:rPr>
              <w:t>项目申请、设立过程是否符合相关要求，用以反映和考核项目立项的规范情况。</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①项目是否按照规定的程序申请设立，审批文件、材料是否符合相关要求；</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②事前是否已经过必要的可行性研究、专家论证、风险评估、绩效评估、集体决策。</w:t>
            </w:r>
          </w:p>
          <w:p>
            <w:pPr>
              <w:rPr>
                <w:rFonts w:ascii="宋体" w:hAnsi="宋体" w:eastAsia="宋体" w:cs="宋体"/>
                <w:sz w:val="18"/>
                <w:szCs w:val="18"/>
              </w:rPr>
            </w:pPr>
            <w:r>
              <w:rPr>
                <w:rFonts w:hint="eastAsia" w:ascii="宋体" w:hAnsi="宋体" w:eastAsia="宋体" w:cs="宋体"/>
                <w:kern w:val="0"/>
                <w:sz w:val="18"/>
                <w:szCs w:val="18"/>
              </w:rPr>
              <w:t>一项不符合扣1分，严重的此项完全不得分。</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restart"/>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绩效目标</w:t>
            </w:r>
          </w:p>
          <w:p>
            <w:pPr>
              <w:jc w:val="center"/>
              <w:rPr>
                <w:rFonts w:ascii="宋体" w:hAnsi="宋体" w:eastAsia="宋体" w:cs="宋体"/>
                <w:kern w:val="0"/>
                <w:sz w:val="18"/>
                <w:szCs w:val="18"/>
              </w:rPr>
            </w:pPr>
            <w:r>
              <w:rPr>
                <w:rFonts w:hint="eastAsia" w:ascii="宋体" w:hAnsi="宋体" w:eastAsia="宋体" w:cs="宋体"/>
                <w:kern w:val="0"/>
                <w:sz w:val="18"/>
                <w:szCs w:val="18"/>
              </w:rPr>
              <w:t>（6分）</w:t>
            </w:r>
          </w:p>
        </w:tc>
        <w:tc>
          <w:tcPr>
            <w:tcW w:w="1339" w:type="dxa"/>
            <w:vAlign w:val="center"/>
          </w:tcPr>
          <w:p>
            <w:pPr>
              <w:widowControl/>
              <w:jc w:val="center"/>
              <w:textAlignment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绩效目标</w:t>
            </w:r>
          </w:p>
          <w:p>
            <w:pPr>
              <w:widowControl/>
              <w:jc w:val="center"/>
              <w:textAlignment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合理性</w:t>
            </w:r>
          </w:p>
          <w:p>
            <w:pPr>
              <w:widowControl/>
              <w:jc w:val="center"/>
              <w:textAlignment w:val="center"/>
              <w:rPr>
                <w:rFonts w:ascii="宋体" w:hAnsi="宋体" w:eastAsia="宋体" w:cs="宋体"/>
                <w:kern w:val="0"/>
                <w:sz w:val="18"/>
                <w:szCs w:val="18"/>
                <w:highlight w:val="yellow"/>
              </w:rPr>
            </w:pPr>
            <w:r>
              <w:rPr>
                <w:rFonts w:hint="eastAsia" w:ascii="宋体" w:hAnsi="宋体" w:eastAsia="宋体" w:cs="宋体"/>
                <w:bCs/>
                <w:color w:val="000000"/>
                <w:kern w:val="0"/>
                <w:sz w:val="18"/>
                <w:szCs w:val="18"/>
              </w:rPr>
              <w:t>（3分）</w:t>
            </w:r>
          </w:p>
        </w:tc>
        <w:tc>
          <w:tcPr>
            <w:tcW w:w="2213" w:type="dxa"/>
            <w:vAlign w:val="center"/>
          </w:tcPr>
          <w:p>
            <w:pPr>
              <w:widowControl/>
              <w:textAlignment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项目所设定的绩效目标是否依据充分，是否符合客观实际，用以反映和考核项目绩效目标与项目实施的相符情况。</w:t>
            </w:r>
          </w:p>
        </w:tc>
        <w:tc>
          <w:tcPr>
            <w:tcW w:w="2973" w:type="dxa"/>
            <w:vAlign w:val="center"/>
          </w:tcPr>
          <w:p>
            <w:pPr>
              <w:widowControl/>
              <w:textAlignment w:val="center"/>
              <w:rPr>
                <w:rFonts w:ascii="宋体" w:hAnsi="宋体" w:eastAsia="宋体" w:cs="宋体"/>
                <w:sz w:val="18"/>
                <w:szCs w:val="18"/>
                <w:highlight w:val="yellow"/>
              </w:rPr>
            </w:pPr>
            <w:r>
              <w:rPr>
                <w:rFonts w:hint="eastAsia" w:ascii="宋体" w:hAnsi="宋体" w:eastAsia="宋体" w:cs="宋体"/>
                <w:bCs/>
                <w:color w:val="000000"/>
                <w:kern w:val="0"/>
                <w:sz w:val="18"/>
                <w:szCs w:val="18"/>
              </w:rPr>
              <w:t>项目所设定的绩效目标是否依据充分，是否符合客观实际，用以反映和考核项目绩效目标与项目实施的相符情况。</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绩效目标</w:t>
            </w:r>
          </w:p>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明确性</w:t>
            </w:r>
          </w:p>
          <w:p>
            <w:pPr>
              <w:jc w:val="center"/>
              <w:rPr>
                <w:rFonts w:ascii="宋体" w:hAnsi="宋体" w:eastAsia="宋体" w:cs="宋体"/>
                <w:kern w:val="0"/>
                <w:sz w:val="18"/>
                <w:szCs w:val="18"/>
              </w:rPr>
            </w:pPr>
            <w:r>
              <w:rPr>
                <w:rFonts w:hint="eastAsia" w:ascii="宋体" w:hAnsi="宋体" w:eastAsia="宋体" w:cs="宋体"/>
                <w:kern w:val="0"/>
                <w:sz w:val="18"/>
                <w:szCs w:val="18"/>
              </w:rPr>
              <w:t>（3分）</w:t>
            </w:r>
          </w:p>
        </w:tc>
        <w:tc>
          <w:tcPr>
            <w:tcW w:w="2213" w:type="dxa"/>
            <w:vAlign w:val="center"/>
          </w:tcPr>
          <w:p>
            <w:pPr>
              <w:widowControl/>
              <w:textAlignment w:val="center"/>
              <w:rPr>
                <w:rFonts w:ascii="宋体" w:hAnsi="宋体" w:eastAsia="宋体" w:cs="宋体"/>
                <w:kern w:val="0"/>
                <w:sz w:val="18"/>
                <w:szCs w:val="18"/>
              </w:rPr>
            </w:pPr>
            <w:r>
              <w:rPr>
                <w:rFonts w:hint="eastAsia" w:ascii="宋体" w:hAnsi="宋体" w:eastAsia="宋体" w:cs="宋体"/>
                <w:bCs/>
                <w:color w:val="000000"/>
                <w:kern w:val="0"/>
                <w:sz w:val="18"/>
                <w:szCs w:val="18"/>
              </w:rPr>
              <w:t>依据绩效目标设定的绩效指标是否清晰、细化、可衡量等，用以反映和考核项目绩效目标的明细化情况。</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①是否将项目绩效目标细化分解为具体的绩效指标；</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②是否通过清晰、可衡量的指标值予以体现；</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③是否与项目目标任务数或计划数相对应。</w:t>
            </w:r>
          </w:p>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一项不符合扣1分，严重的此项完全不得分。</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资金投入</w:t>
            </w:r>
          </w:p>
          <w:p>
            <w:pPr>
              <w:jc w:val="center"/>
              <w:rPr>
                <w:rFonts w:ascii="宋体" w:hAnsi="宋体" w:eastAsia="宋体" w:cs="宋体"/>
                <w:kern w:val="0"/>
                <w:sz w:val="18"/>
                <w:szCs w:val="18"/>
              </w:rPr>
            </w:pPr>
            <w:r>
              <w:rPr>
                <w:rFonts w:hint="eastAsia" w:ascii="宋体" w:hAnsi="宋体" w:eastAsia="宋体" w:cs="宋体"/>
                <w:kern w:val="0"/>
                <w:sz w:val="18"/>
                <w:szCs w:val="18"/>
              </w:rPr>
              <w:t>（5分）</w:t>
            </w:r>
          </w:p>
        </w:tc>
        <w:tc>
          <w:tcPr>
            <w:tcW w:w="1339"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预算编制</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科学性</w:t>
            </w:r>
          </w:p>
          <w:p>
            <w:pPr>
              <w:jc w:val="center"/>
              <w:rPr>
                <w:rFonts w:ascii="宋体" w:hAnsi="宋体" w:eastAsia="宋体" w:cs="宋体"/>
                <w:kern w:val="0"/>
                <w:sz w:val="18"/>
                <w:szCs w:val="18"/>
              </w:rPr>
            </w:pPr>
            <w:r>
              <w:rPr>
                <w:rFonts w:hint="eastAsia" w:ascii="宋体" w:hAnsi="宋体" w:eastAsia="宋体" w:cs="宋体"/>
                <w:kern w:val="0"/>
                <w:sz w:val="18"/>
                <w:szCs w:val="18"/>
              </w:rPr>
              <w:t>（2分）</w:t>
            </w:r>
          </w:p>
        </w:tc>
        <w:tc>
          <w:tcPr>
            <w:tcW w:w="2213" w:type="dxa"/>
            <w:vAlign w:val="top"/>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项目预算编制是否经过科学论证、有明确标准，资金额度与年度目标是否相适应，用以反映和考核项目预算编制的科学性、合理性情况。</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①预算编制是否经过科学论证；</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②预算内容与项目内容是否匹配；</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③预算额度测算依据是否充分，是否按照标准编制。</w:t>
            </w:r>
          </w:p>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一项不符合扣1分，严重的此项完全不得分。</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资金到位率</w:t>
            </w:r>
          </w:p>
          <w:p>
            <w:pPr>
              <w:jc w:val="center"/>
              <w:rPr>
                <w:rFonts w:ascii="宋体" w:hAnsi="宋体" w:eastAsia="宋体" w:cs="宋体"/>
                <w:kern w:val="0"/>
                <w:sz w:val="18"/>
                <w:szCs w:val="18"/>
              </w:rPr>
            </w:pPr>
            <w:r>
              <w:rPr>
                <w:rFonts w:hint="eastAsia" w:ascii="宋体" w:hAnsi="宋体" w:eastAsia="宋体" w:cs="宋体"/>
                <w:kern w:val="0"/>
                <w:sz w:val="18"/>
                <w:szCs w:val="18"/>
              </w:rPr>
              <w:t>（3分）</w:t>
            </w:r>
          </w:p>
        </w:tc>
        <w:tc>
          <w:tcPr>
            <w:tcW w:w="2213" w:type="dxa"/>
            <w:vAlign w:val="top"/>
          </w:tcPr>
          <w:p>
            <w:pPr>
              <w:widowControl/>
              <w:spacing w:line="0" w:lineRule="atLeast"/>
              <w:jc w:val="left"/>
              <w:rPr>
                <w:rFonts w:ascii="宋体" w:hAnsi="宋体" w:eastAsia="宋体" w:cs="宋体"/>
                <w:bCs/>
                <w:color w:val="000000"/>
                <w:kern w:val="0"/>
                <w:sz w:val="18"/>
                <w:szCs w:val="18"/>
              </w:rPr>
            </w:pPr>
            <w:r>
              <w:rPr>
                <w:rFonts w:hint="eastAsia" w:ascii="宋体" w:hAnsi="宋体" w:eastAsia="宋体" w:cs="宋体"/>
                <w:kern w:val="0"/>
                <w:sz w:val="18"/>
                <w:szCs w:val="18"/>
              </w:rPr>
              <w:t>用于说明资金到位情况。资金到位率=（实际到位资金/预算资金）×100%</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实际到位资金：一定时期（本年度或项目期）内落实到具体项目的资金。</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预算资金：一定时期（本年度或项目期）内预算安排到具体项目的资金。</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资金到位率达到100%</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满分，每少5个百分点扣1分，扣完为止。</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08" w:type="dxa"/>
            <w:vMerge w:val="restart"/>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过 程</w:t>
            </w:r>
          </w:p>
          <w:p>
            <w:pPr>
              <w:jc w:val="center"/>
              <w:rPr>
                <w:rFonts w:ascii="宋体" w:hAnsi="宋体" w:eastAsia="宋体" w:cs="宋体"/>
                <w:b/>
                <w:bCs/>
                <w:kern w:val="0"/>
                <w:sz w:val="18"/>
                <w:szCs w:val="18"/>
              </w:rPr>
            </w:pPr>
            <w:r>
              <w:rPr>
                <w:rFonts w:hint="eastAsia" w:ascii="宋体" w:hAnsi="宋体" w:eastAsia="宋体" w:cs="宋体"/>
                <w:b/>
                <w:bCs/>
                <w:kern w:val="0"/>
                <w:sz w:val="18"/>
                <w:szCs w:val="18"/>
              </w:rPr>
              <w:t>（20分）</w:t>
            </w:r>
          </w:p>
        </w:tc>
        <w:tc>
          <w:tcPr>
            <w:tcW w:w="953"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资金管理</w:t>
            </w:r>
          </w:p>
          <w:p>
            <w:pPr>
              <w:jc w:val="center"/>
              <w:rPr>
                <w:rFonts w:ascii="宋体" w:hAnsi="宋体" w:eastAsia="宋体" w:cs="宋体"/>
                <w:kern w:val="0"/>
                <w:sz w:val="18"/>
                <w:szCs w:val="18"/>
              </w:rPr>
            </w:pPr>
            <w:r>
              <w:rPr>
                <w:rFonts w:hint="eastAsia" w:ascii="宋体" w:hAnsi="宋体" w:eastAsia="宋体" w:cs="宋体"/>
                <w:kern w:val="0"/>
                <w:sz w:val="18"/>
                <w:szCs w:val="18"/>
              </w:rPr>
              <w:t>（6分）</w:t>
            </w:r>
          </w:p>
        </w:tc>
        <w:tc>
          <w:tcPr>
            <w:tcW w:w="1339"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资金分配</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合理性</w:t>
            </w:r>
          </w:p>
          <w:p>
            <w:pPr>
              <w:jc w:val="center"/>
              <w:rPr>
                <w:rFonts w:ascii="宋体" w:hAnsi="宋体" w:eastAsia="宋体" w:cs="宋体"/>
                <w:kern w:val="0"/>
                <w:sz w:val="18"/>
                <w:szCs w:val="18"/>
              </w:rPr>
            </w:pPr>
            <w:r>
              <w:rPr>
                <w:rFonts w:hint="eastAsia" w:ascii="宋体" w:hAnsi="宋体" w:eastAsia="宋体" w:cs="宋体"/>
                <w:kern w:val="0"/>
                <w:sz w:val="18"/>
                <w:szCs w:val="18"/>
              </w:rPr>
              <w:t>（3分）</w:t>
            </w:r>
          </w:p>
        </w:tc>
        <w:tc>
          <w:tcPr>
            <w:tcW w:w="2213" w:type="dxa"/>
            <w:vAlign w:val="top"/>
          </w:tcPr>
          <w:p>
            <w:pPr>
              <w:widowControl/>
              <w:spacing w:line="0" w:lineRule="atLeast"/>
              <w:jc w:val="left"/>
              <w:rPr>
                <w:rFonts w:ascii="宋体" w:hAnsi="宋体" w:eastAsia="宋体" w:cs="宋体"/>
                <w:kern w:val="0"/>
                <w:sz w:val="18"/>
                <w:szCs w:val="18"/>
              </w:rPr>
            </w:pPr>
            <w:r>
              <w:rPr>
                <w:rFonts w:hint="eastAsia" w:ascii="宋体" w:hAnsi="宋体" w:eastAsia="宋体" w:cs="宋体"/>
                <w:bCs/>
                <w:color w:val="000000"/>
                <w:kern w:val="0"/>
                <w:sz w:val="18"/>
                <w:szCs w:val="18"/>
              </w:rPr>
              <w:t>项目预算资金分配是否有测算依据，与补助单位或地方实际是否相适应，用以反映和考核项目预算资金分配的科学性、合理性情况。</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①预算资金分配依据是否充分；</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②资金分配额度是否合理，与项目单位或地方实际是否相适应。</w:t>
            </w:r>
          </w:p>
          <w:p>
            <w:pPr>
              <w:widowControl/>
              <w:spacing w:line="0" w:lineRule="atLeast"/>
              <w:jc w:val="left"/>
              <w:rPr>
                <w:rFonts w:ascii="宋体" w:hAnsi="宋体" w:eastAsia="宋体" w:cs="宋体"/>
                <w:spacing w:val="3"/>
                <w:kern w:val="0"/>
                <w:sz w:val="18"/>
                <w:szCs w:val="18"/>
              </w:rPr>
            </w:pPr>
            <w:r>
              <w:rPr>
                <w:rFonts w:hint="eastAsia" w:ascii="宋体" w:hAnsi="宋体" w:eastAsia="宋体" w:cs="宋体"/>
                <w:kern w:val="0"/>
                <w:sz w:val="18"/>
                <w:szCs w:val="18"/>
              </w:rPr>
              <w:t>一项不符合扣1.5分，严重的此项完全不得分。</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预算执行率</w:t>
            </w:r>
          </w:p>
          <w:p>
            <w:pPr>
              <w:jc w:val="center"/>
              <w:rPr>
                <w:rFonts w:ascii="宋体" w:hAnsi="宋体" w:eastAsia="宋体" w:cs="宋体"/>
                <w:kern w:val="0"/>
                <w:sz w:val="18"/>
                <w:szCs w:val="18"/>
              </w:rPr>
            </w:pPr>
            <w:r>
              <w:rPr>
                <w:rFonts w:hint="eastAsia" w:ascii="宋体" w:hAnsi="宋体" w:eastAsia="宋体" w:cs="宋体"/>
                <w:kern w:val="0"/>
                <w:sz w:val="18"/>
                <w:szCs w:val="18"/>
              </w:rPr>
              <w:t>（3分）</w:t>
            </w:r>
          </w:p>
        </w:tc>
        <w:tc>
          <w:tcPr>
            <w:tcW w:w="2213" w:type="dxa"/>
            <w:vAlign w:val="top"/>
          </w:tcPr>
          <w:p>
            <w:pPr>
              <w:widowControl/>
              <w:spacing w:line="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用于衡量资金使用情况，预算执行率=（实际支出资金/实际到位资金）×100%</w:t>
            </w:r>
            <w:r>
              <w:rPr>
                <w:rFonts w:hint="eastAsia" w:ascii="宋体" w:hAnsi="宋体" w:eastAsia="宋体" w:cs="宋体"/>
                <w:kern w:val="0"/>
                <w:sz w:val="18"/>
                <w:szCs w:val="18"/>
                <w:lang w:eastAsia="zh-CN"/>
              </w:rPr>
              <w:t>。</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实际支出资金：一定时期（本年度或项目期）内项目实际拨付的资金。</w:t>
            </w:r>
          </w:p>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资金使用率大于95%</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满分，每少5个百分点扣1分，扣完为止。</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restart"/>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组织实施</w:t>
            </w:r>
          </w:p>
          <w:p>
            <w:pPr>
              <w:jc w:val="center"/>
              <w:rPr>
                <w:rFonts w:ascii="宋体" w:hAnsi="宋体" w:eastAsia="宋体" w:cs="宋体"/>
                <w:kern w:val="0"/>
                <w:sz w:val="18"/>
                <w:szCs w:val="18"/>
              </w:rPr>
            </w:pPr>
            <w:r>
              <w:rPr>
                <w:rFonts w:hint="eastAsia" w:ascii="宋体" w:hAnsi="宋体" w:eastAsia="宋体" w:cs="宋体"/>
                <w:kern w:val="0"/>
                <w:sz w:val="18"/>
                <w:szCs w:val="18"/>
              </w:rPr>
              <w:t>（9分）</w:t>
            </w:r>
          </w:p>
        </w:tc>
        <w:tc>
          <w:tcPr>
            <w:tcW w:w="1339"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管理制度</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健全性</w:t>
            </w:r>
          </w:p>
          <w:p>
            <w:pPr>
              <w:jc w:val="center"/>
              <w:rPr>
                <w:rFonts w:ascii="宋体" w:hAnsi="宋体" w:eastAsia="宋体" w:cs="宋体"/>
                <w:kern w:val="0"/>
                <w:sz w:val="18"/>
                <w:szCs w:val="18"/>
              </w:rPr>
            </w:pPr>
            <w:r>
              <w:rPr>
                <w:rFonts w:hint="eastAsia" w:ascii="宋体" w:hAnsi="宋体" w:eastAsia="宋体" w:cs="宋体"/>
                <w:kern w:val="0"/>
                <w:sz w:val="18"/>
                <w:szCs w:val="18"/>
              </w:rPr>
              <w:t>（3分）</w:t>
            </w:r>
          </w:p>
        </w:tc>
        <w:tc>
          <w:tcPr>
            <w:tcW w:w="2213" w:type="dxa"/>
            <w:vAlign w:val="top"/>
          </w:tcPr>
          <w:p>
            <w:pPr>
              <w:widowControl/>
              <w:spacing w:line="0" w:lineRule="atLeast"/>
              <w:jc w:val="left"/>
              <w:rPr>
                <w:rFonts w:ascii="宋体" w:hAnsi="宋体" w:eastAsia="宋体" w:cs="宋体"/>
                <w:kern w:val="0"/>
                <w:sz w:val="18"/>
                <w:szCs w:val="18"/>
              </w:rPr>
            </w:pP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考察资金使用单位管理制度是否健全可行，是否合法合规</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①财务、 内部控制制度、疫情防控专项资金管理办法等财务管理</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制度都健全可行，合法合规</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2 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 xml:space="preserve"> ;</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②三项制度各占 1/3 权重分，</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缺少一项或内容不健全，按照权重扣除相应分数。</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08" w:type="dxa"/>
            <w:vMerge w:val="continue"/>
            <w:vAlign w:val="center"/>
          </w:tcPr>
          <w:p>
            <w:pPr>
              <w:jc w:val="center"/>
              <w:rPr>
                <w:rFonts w:ascii="宋体" w:hAnsi="宋体" w:eastAsia="宋体" w:cs="宋体"/>
                <w:b/>
                <w:bCs/>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制度执行</w:t>
            </w:r>
          </w:p>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有效性</w:t>
            </w:r>
          </w:p>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（3分）</w:t>
            </w:r>
          </w:p>
        </w:tc>
        <w:tc>
          <w:tcPr>
            <w:tcW w:w="2213" w:type="dxa"/>
            <w:vAlign w:val="center"/>
          </w:tcPr>
          <w:p>
            <w:pPr>
              <w:widowControl/>
              <w:textAlignment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项目实施是否符合相关管理规定，用以反映和考核相关管理制度的有效执行情况。</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①是否遵守相关法律法规和相关管理规定；</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②项目调整及支出调整手续是否完备；</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③项目合同书、验收报告、技术鉴定等资料是否齐全并及时归档；</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④项目实施的人员条件、场地设备、信息支撑等是否落实到位。</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一项不符合扣0.5分，严重的此项完全不得分。</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08" w:type="dxa"/>
            <w:vMerge w:val="continue"/>
            <w:vAlign w:val="center"/>
          </w:tcPr>
          <w:p>
            <w:pPr>
              <w:jc w:val="center"/>
              <w:rPr>
                <w:rFonts w:ascii="宋体" w:hAnsi="宋体" w:eastAsia="宋体" w:cs="宋体"/>
                <w:b/>
                <w:bCs/>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jc w:val="center"/>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采购制度</w:t>
            </w:r>
          </w:p>
          <w:p>
            <w:pPr>
              <w:widowControl/>
              <w:jc w:val="center"/>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健全性</w:t>
            </w:r>
          </w:p>
          <w:p>
            <w:pPr>
              <w:widowControl/>
              <w:jc w:val="center"/>
              <w:textAlignment w:val="center"/>
              <w:rPr>
                <w:rFonts w:ascii="宋体" w:hAnsi="宋体" w:eastAsia="宋体" w:cs="宋体"/>
                <w:sz w:val="18"/>
                <w:szCs w:val="18"/>
              </w:rPr>
            </w:pPr>
            <w:r>
              <w:rPr>
                <w:rFonts w:hint="eastAsia" w:ascii="宋体" w:hAnsi="宋体" w:eastAsia="宋体" w:cs="宋体"/>
                <w:bCs/>
                <w:color w:val="000000"/>
                <w:kern w:val="0"/>
                <w:sz w:val="18"/>
                <w:szCs w:val="18"/>
              </w:rPr>
              <w:t>（3分）</w:t>
            </w:r>
          </w:p>
        </w:tc>
        <w:tc>
          <w:tcPr>
            <w:tcW w:w="2213" w:type="dxa"/>
            <w:vAlign w:val="center"/>
          </w:tcPr>
          <w:p>
            <w:pPr>
              <w:widowControl/>
              <w:textAlignment w:val="center"/>
              <w:rPr>
                <w:rFonts w:ascii="宋体" w:hAnsi="宋体" w:eastAsia="宋体" w:cs="宋体"/>
                <w:kern w:val="0"/>
                <w:sz w:val="18"/>
                <w:szCs w:val="18"/>
              </w:rPr>
            </w:pPr>
            <w:r>
              <w:rPr>
                <w:rFonts w:hint="eastAsia" w:ascii="宋体" w:hAnsi="宋体" w:eastAsia="宋体" w:cs="宋体"/>
                <w:kern w:val="0"/>
                <w:sz w:val="18"/>
                <w:szCs w:val="18"/>
              </w:rPr>
              <w:t>评价资金使用单位提供的采购合同及相关基础资料，</w:t>
            </w:r>
            <w:r>
              <w:rPr>
                <w:rFonts w:hint="eastAsia" w:ascii="宋体" w:hAnsi="宋体" w:eastAsia="宋体" w:cs="宋体"/>
                <w:bCs/>
                <w:color w:val="000000"/>
                <w:kern w:val="0"/>
                <w:sz w:val="18"/>
                <w:szCs w:val="18"/>
              </w:rPr>
              <w:t>用以反映和考核采购管理制度对项目顺利实施的保障情况。</w:t>
            </w:r>
          </w:p>
        </w:tc>
        <w:tc>
          <w:tcPr>
            <w:tcW w:w="2973" w:type="dxa"/>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①是否已制定或具有采购的管理制度；</w:t>
            </w:r>
          </w:p>
          <w:p>
            <w:pPr>
              <w:widowControl/>
              <w:spacing w:line="0" w:lineRule="atLeast"/>
              <w:jc w:val="left"/>
            </w:pPr>
            <w:r>
              <w:rPr>
                <w:rFonts w:hint="eastAsia" w:ascii="宋体" w:hAnsi="宋体" w:eastAsia="宋体" w:cs="宋体"/>
                <w:kern w:val="0"/>
                <w:sz w:val="18"/>
                <w:szCs w:val="18"/>
              </w:rPr>
              <w:t>②采购管理制度是否合法、合规、完整。</w:t>
            </w:r>
          </w:p>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一项不符合扣1分，严重的此项完全不得分。</w:t>
            </w:r>
          </w:p>
        </w:tc>
        <w:tc>
          <w:tcPr>
            <w:tcW w:w="809"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08" w:type="dxa"/>
            <w:vMerge w:val="continue"/>
            <w:vAlign w:val="center"/>
          </w:tcPr>
          <w:p>
            <w:pPr>
              <w:jc w:val="center"/>
              <w:rPr>
                <w:rFonts w:ascii="宋体" w:hAnsi="宋体" w:eastAsia="宋体" w:cs="宋体"/>
                <w:b/>
                <w:bCs/>
                <w:kern w:val="0"/>
                <w:sz w:val="18"/>
                <w:szCs w:val="18"/>
              </w:rPr>
            </w:pPr>
          </w:p>
        </w:tc>
        <w:tc>
          <w:tcPr>
            <w:tcW w:w="953" w:type="dxa"/>
            <w:vMerge w:val="restart"/>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绩效</w:t>
            </w:r>
            <w:r>
              <w:rPr>
                <w:rFonts w:ascii="宋体" w:hAnsi="宋体" w:eastAsia="宋体" w:cs="宋体"/>
                <w:kern w:val="0"/>
                <w:sz w:val="18"/>
                <w:szCs w:val="18"/>
              </w:rPr>
              <w:t>管理</w:t>
            </w:r>
          </w:p>
          <w:p>
            <w:pPr>
              <w:jc w:val="center"/>
              <w:rPr>
                <w:rFonts w:ascii="宋体" w:hAnsi="宋体" w:eastAsia="宋体" w:cs="宋体"/>
                <w:kern w:val="0"/>
                <w:sz w:val="18"/>
                <w:szCs w:val="18"/>
              </w:rPr>
            </w:pPr>
            <w:r>
              <w:rPr>
                <w:rFonts w:ascii="宋体" w:hAnsi="宋体" w:eastAsia="宋体" w:cs="宋体"/>
                <w:kern w:val="0"/>
                <w:sz w:val="18"/>
                <w:szCs w:val="18"/>
              </w:rPr>
              <w:t>（</w:t>
            </w:r>
            <w:r>
              <w:rPr>
                <w:rFonts w:hint="eastAsia" w:ascii="宋体" w:hAnsi="宋体" w:eastAsia="宋体" w:cs="宋体"/>
                <w:kern w:val="0"/>
                <w:sz w:val="18"/>
                <w:szCs w:val="18"/>
                <w:lang w:val="en-US" w:eastAsia="zh-CN"/>
              </w:rPr>
              <w:t>5</w:t>
            </w:r>
            <w:r>
              <w:rPr>
                <w:rFonts w:ascii="宋体" w:hAnsi="宋体" w:eastAsia="宋体" w:cs="宋体"/>
                <w:kern w:val="0"/>
                <w:sz w:val="18"/>
                <w:szCs w:val="18"/>
              </w:rPr>
              <w:t>分）</w:t>
            </w:r>
          </w:p>
        </w:tc>
        <w:tc>
          <w:tcPr>
            <w:tcW w:w="1339"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预算绩效</w:t>
            </w:r>
          </w:p>
          <w:p>
            <w:pPr>
              <w:jc w:val="center"/>
              <w:rPr>
                <w:rFonts w:ascii="宋体" w:hAnsi="宋体" w:eastAsia="宋体" w:cs="宋体"/>
                <w:kern w:val="0"/>
                <w:sz w:val="18"/>
                <w:szCs w:val="18"/>
              </w:rPr>
            </w:pPr>
            <w:r>
              <w:rPr>
                <w:rFonts w:hint="eastAsia" w:ascii="宋体" w:hAnsi="宋体" w:eastAsia="宋体" w:cs="宋体"/>
                <w:kern w:val="0"/>
                <w:sz w:val="18"/>
                <w:szCs w:val="18"/>
              </w:rPr>
              <w:t>管理情况</w:t>
            </w:r>
          </w:p>
          <w:p>
            <w:pPr>
              <w:jc w:val="center"/>
              <w:rPr>
                <w:rFonts w:ascii="宋体" w:hAnsi="宋体" w:eastAsia="宋体" w:cs="宋体"/>
                <w:kern w:val="0"/>
                <w:sz w:val="18"/>
                <w:szCs w:val="18"/>
              </w:rPr>
            </w:pPr>
            <w:r>
              <w:rPr>
                <w:rFonts w:hint="eastAsia" w:ascii="宋体" w:hAnsi="宋体" w:eastAsia="宋体" w:cs="宋体"/>
                <w:kern w:val="0"/>
                <w:sz w:val="18"/>
                <w:szCs w:val="18"/>
              </w:rPr>
              <w:t>（2分）</w:t>
            </w:r>
          </w:p>
        </w:tc>
        <w:tc>
          <w:tcPr>
            <w:tcW w:w="2213" w:type="dxa"/>
            <w:vAlign w:val="center"/>
          </w:tcPr>
          <w:p>
            <w:pPr>
              <w:widowControl/>
              <w:textAlignment w:val="center"/>
              <w:rPr>
                <w:rFonts w:ascii="宋体" w:hAnsi="宋体" w:eastAsia="宋体" w:cs="宋体"/>
                <w:kern w:val="0"/>
                <w:sz w:val="18"/>
                <w:szCs w:val="18"/>
              </w:rPr>
            </w:pPr>
            <w:r>
              <w:rPr>
                <w:rFonts w:hint="eastAsia" w:ascii="宋体" w:hAnsi="宋体" w:eastAsia="宋体" w:cs="宋体"/>
                <w:bCs/>
                <w:color w:val="000000"/>
                <w:kern w:val="0"/>
                <w:sz w:val="18"/>
                <w:szCs w:val="18"/>
              </w:rPr>
              <w:t>是否已制定或具有相应的监控机制</w:t>
            </w:r>
          </w:p>
        </w:tc>
        <w:tc>
          <w:tcPr>
            <w:tcW w:w="2973" w:type="dxa"/>
            <w:vAlign w:val="center"/>
          </w:tcPr>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对部门绩效管理工作开展情况进行核查评价计算得分，包括绩效目标管理，绩效执行监控和绩效自评和评价结果应用等情况进行综合计算，得出绩效管理的得分情况。</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vAlign w:val="center"/>
          </w:tcPr>
          <w:p>
            <w:pPr>
              <w:jc w:val="center"/>
              <w:rPr>
                <w:rFonts w:ascii="宋体" w:hAnsi="宋体" w:eastAsia="宋体" w:cs="宋体"/>
                <w:b/>
                <w:bCs/>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jc w:val="center"/>
              <w:rPr>
                <w:sz w:val="18"/>
                <w:szCs w:val="18"/>
              </w:rPr>
            </w:pPr>
            <w:r>
              <w:rPr>
                <w:sz w:val="18"/>
                <w:szCs w:val="18"/>
              </w:rPr>
              <w:t>绩效自评</w:t>
            </w:r>
          </w:p>
          <w:p>
            <w:pPr>
              <w:jc w:val="center"/>
              <w:rPr>
                <w:sz w:val="18"/>
                <w:szCs w:val="18"/>
              </w:rPr>
            </w:pPr>
            <w:r>
              <w:rPr>
                <w:sz w:val="18"/>
                <w:szCs w:val="18"/>
              </w:rPr>
              <w:t>合规性</w:t>
            </w:r>
          </w:p>
          <w:p>
            <w:pPr>
              <w:pStyle w:val="10"/>
              <w:jc w:val="center"/>
            </w:pPr>
            <w:r>
              <w:rPr>
                <w:rFonts w:hint="eastAsia" w:ascii="宋体" w:hAnsi="宋体" w:eastAsia="宋体" w:cs="宋体"/>
                <w:kern w:val="0"/>
              </w:rPr>
              <w:t>（3分）</w:t>
            </w:r>
          </w:p>
        </w:tc>
        <w:tc>
          <w:tcPr>
            <w:tcW w:w="2213" w:type="dxa"/>
            <w:vAlign w:val="center"/>
          </w:tcPr>
          <w:p>
            <w:pPr>
              <w:widowControl/>
              <w:textAlignment w:val="center"/>
              <w:rPr>
                <w:rFonts w:ascii="宋体" w:hAnsi="宋体" w:eastAsia="宋体" w:cs="宋体"/>
                <w:kern w:val="0"/>
                <w:sz w:val="18"/>
                <w:szCs w:val="18"/>
              </w:rPr>
            </w:pPr>
            <w:r>
              <w:rPr>
                <w:rFonts w:hint="eastAsia" w:ascii="宋体" w:hAnsi="宋体" w:eastAsia="宋体" w:cs="宋体"/>
                <w:bCs/>
                <w:color w:val="000000"/>
                <w:kern w:val="0"/>
                <w:sz w:val="18"/>
                <w:szCs w:val="18"/>
              </w:rPr>
              <w:t>是否按要求开展绩效自评工作；绩效自评报告是否报送及时</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①是否按要求开展绩效自评工作；</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②绩效自评报告是否报送及时；</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③绩效自评报告是否完整，数据是否全面、真实、准确，绩效指标是否细化量化和科学合理；</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④绩效自评反映的问题是否具体，意见是否可行。</w:t>
            </w:r>
          </w:p>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一项不符合扣0.5分，严重的此项完全不得分。</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08" w:type="dxa"/>
            <w:vMerge w:val="restart"/>
            <w:vAlign w:val="center"/>
          </w:tcPr>
          <w:p>
            <w:pPr>
              <w:widowControl/>
              <w:rPr>
                <w:rFonts w:ascii="宋体" w:hAnsi="宋体" w:eastAsia="宋体" w:cs="宋体"/>
                <w:b/>
                <w:bCs/>
                <w:kern w:val="0"/>
                <w:sz w:val="18"/>
                <w:szCs w:val="18"/>
              </w:rPr>
            </w:pPr>
          </w:p>
          <w:p>
            <w:pPr>
              <w:widowControl/>
              <w:jc w:val="center"/>
              <w:rPr>
                <w:rFonts w:ascii="宋体" w:hAnsi="宋体" w:eastAsia="宋体" w:cs="宋体"/>
                <w:b/>
                <w:bCs/>
                <w:kern w:val="0"/>
                <w:sz w:val="18"/>
                <w:szCs w:val="18"/>
              </w:rPr>
            </w:pPr>
          </w:p>
          <w:p>
            <w:pPr>
              <w:widowControl/>
              <w:jc w:val="center"/>
              <w:rPr>
                <w:rFonts w:ascii="宋体" w:hAnsi="宋体" w:eastAsia="宋体" w:cs="宋体"/>
                <w:b/>
                <w:bCs/>
                <w:kern w:val="0"/>
                <w:sz w:val="18"/>
                <w:szCs w:val="18"/>
              </w:rPr>
            </w:pP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 出</w:t>
            </w:r>
          </w:p>
          <w:p>
            <w:pPr>
              <w:jc w:val="center"/>
              <w:rPr>
                <w:rFonts w:ascii="宋体" w:hAnsi="宋体" w:eastAsia="宋体" w:cs="宋体"/>
                <w:b/>
                <w:bCs/>
                <w:kern w:val="0"/>
                <w:sz w:val="18"/>
                <w:szCs w:val="18"/>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35</w:t>
            </w:r>
            <w:r>
              <w:rPr>
                <w:rFonts w:hint="eastAsia" w:ascii="宋体" w:hAnsi="宋体" w:eastAsia="宋体" w:cs="宋体"/>
                <w:b/>
                <w:bCs/>
                <w:kern w:val="0"/>
                <w:sz w:val="18"/>
                <w:szCs w:val="18"/>
              </w:rPr>
              <w:t>分）</w:t>
            </w:r>
          </w:p>
          <w:p>
            <w:pPr>
              <w:jc w:val="center"/>
              <w:rPr>
                <w:rFonts w:ascii="宋体" w:hAnsi="宋体" w:eastAsia="宋体" w:cs="宋体"/>
                <w:b/>
                <w:bCs/>
                <w:kern w:val="0"/>
                <w:sz w:val="18"/>
                <w:szCs w:val="18"/>
              </w:rPr>
            </w:pPr>
          </w:p>
        </w:tc>
        <w:tc>
          <w:tcPr>
            <w:tcW w:w="953"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bidi="ar"/>
              </w:rPr>
              <w:t>产出数量</w:t>
            </w:r>
          </w:p>
          <w:p>
            <w:pPr>
              <w:jc w:val="center"/>
              <w:rPr>
                <w:rFonts w:ascii="宋体" w:hAnsi="宋体" w:eastAsia="宋体" w:cs="宋体"/>
                <w:kern w:val="0"/>
                <w:sz w:val="18"/>
                <w:szCs w:val="18"/>
              </w:rPr>
            </w:pPr>
            <w:r>
              <w:rPr>
                <w:rFonts w:hint="eastAsia" w:ascii="宋体" w:hAnsi="宋体" w:eastAsia="宋体" w:cs="宋体"/>
                <w:kern w:val="0"/>
                <w:sz w:val="18"/>
                <w:szCs w:val="18"/>
                <w:lang w:bidi="ar"/>
              </w:rPr>
              <w:t>（15分）</w:t>
            </w:r>
          </w:p>
          <w:p>
            <w:pPr>
              <w:jc w:val="center"/>
              <w:rPr>
                <w:rFonts w:ascii="宋体" w:hAnsi="宋体" w:eastAsia="宋体" w:cs="宋体"/>
                <w:kern w:val="0"/>
                <w:sz w:val="18"/>
                <w:szCs w:val="18"/>
              </w:rPr>
            </w:pPr>
          </w:p>
        </w:tc>
        <w:tc>
          <w:tcPr>
            <w:tcW w:w="1339" w:type="dxa"/>
            <w:vAlign w:val="center"/>
          </w:tcPr>
          <w:p>
            <w:pPr>
              <w:jc w:val="center"/>
              <w:rPr>
                <w:rFonts w:hint="eastAsia"/>
                <w:sz w:val="18"/>
                <w:szCs w:val="18"/>
              </w:rPr>
            </w:pPr>
            <w:r>
              <w:rPr>
                <w:rFonts w:hint="eastAsia"/>
                <w:sz w:val="18"/>
                <w:szCs w:val="18"/>
              </w:rPr>
              <w:t>县医院核酸检测累计采集</w:t>
            </w:r>
          </w:p>
          <w:p>
            <w:pPr>
              <w:jc w:val="center"/>
              <w:rPr>
                <w:sz w:val="18"/>
                <w:szCs w:val="18"/>
              </w:rPr>
            </w:pPr>
            <w:r>
              <w:rPr>
                <w:rFonts w:hint="eastAsia"/>
                <w:sz w:val="18"/>
                <w:szCs w:val="18"/>
              </w:rPr>
              <w:t>人次</w:t>
            </w:r>
          </w:p>
          <w:p>
            <w:pPr>
              <w:jc w:val="center"/>
              <w:rPr>
                <w:rFonts w:ascii="宋体" w:hAnsi="宋体" w:eastAsia="宋体" w:cs="宋体"/>
                <w:sz w:val="18"/>
                <w:szCs w:val="18"/>
              </w:rPr>
            </w:pPr>
            <w:r>
              <w:rPr>
                <w:rFonts w:hint="eastAsia" w:ascii="宋体" w:hAnsi="宋体" w:eastAsia="宋体" w:cs="宋体"/>
                <w:sz w:val="18"/>
                <w:szCs w:val="18"/>
              </w:rPr>
              <w:t>（3分）</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用于衡量2022年度在德化县医院核酸检测的总人数</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县医院核酸检测累计采集人次超过290万人得满分，每少1000人扣1分。</w:t>
            </w:r>
          </w:p>
          <w:p>
            <w:pPr>
              <w:widowControl/>
              <w:spacing w:line="0" w:lineRule="atLeast"/>
              <w:jc w:val="left"/>
              <w:rPr>
                <w:rFonts w:ascii="宋体" w:hAnsi="宋体" w:eastAsia="宋体" w:cs="宋体"/>
                <w:sz w:val="18"/>
                <w:szCs w:val="18"/>
              </w:rPr>
            </w:pP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rPr>
                <w:rFonts w:ascii="宋体" w:hAnsi="宋体" w:eastAsia="宋体" w:cs="宋体"/>
                <w:kern w:val="0"/>
                <w:sz w:val="18"/>
                <w:szCs w:val="18"/>
              </w:rPr>
            </w:pPr>
          </w:p>
        </w:tc>
        <w:tc>
          <w:tcPr>
            <w:tcW w:w="1339" w:type="dxa"/>
            <w:vAlign w:val="center"/>
          </w:tcPr>
          <w:p>
            <w:pPr>
              <w:jc w:val="center"/>
              <w:rPr>
                <w:rFonts w:hint="eastAsia"/>
                <w:sz w:val="18"/>
                <w:szCs w:val="18"/>
              </w:rPr>
            </w:pPr>
            <w:r>
              <w:rPr>
                <w:rFonts w:hint="eastAsia"/>
                <w:sz w:val="18"/>
                <w:szCs w:val="18"/>
              </w:rPr>
              <w:t>组织人员培训</w:t>
            </w:r>
          </w:p>
          <w:p>
            <w:pPr>
              <w:jc w:val="center"/>
              <w:rPr>
                <w:rFonts w:ascii="宋体" w:hAnsi="宋体" w:eastAsia="宋体" w:cs="宋体"/>
                <w:sz w:val="18"/>
                <w:szCs w:val="18"/>
              </w:rPr>
            </w:pPr>
            <w:r>
              <w:rPr>
                <w:rFonts w:hint="eastAsia"/>
                <w:sz w:val="18"/>
                <w:szCs w:val="18"/>
              </w:rPr>
              <w:t>（3分）</w:t>
            </w:r>
          </w:p>
        </w:tc>
        <w:tc>
          <w:tcPr>
            <w:tcW w:w="2213" w:type="dxa"/>
            <w:vAlign w:val="center"/>
          </w:tcPr>
          <w:p>
            <w:pPr>
              <w:widowControl/>
              <w:spacing w:line="0" w:lineRule="atLeast"/>
              <w:jc w:val="left"/>
              <w:rPr>
                <w:rFonts w:ascii="宋体" w:hAnsi="宋体" w:eastAsia="宋体" w:cs="宋体"/>
                <w:sz w:val="18"/>
                <w:szCs w:val="18"/>
              </w:rPr>
            </w:pPr>
            <w:r>
              <w:rPr>
                <w:rFonts w:hint="eastAsia" w:ascii="宋体" w:hAnsi="宋体" w:eastAsia="宋体" w:cs="宋体"/>
                <w:sz w:val="18"/>
                <w:szCs w:val="18"/>
              </w:rPr>
              <w:t>用于评价组织医疗机构检验相关专业人员的情况</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sz w:val="18"/>
                <w:szCs w:val="18"/>
              </w:rPr>
              <w:t>组织</w:t>
            </w:r>
            <w:r>
              <w:rPr>
                <w:rFonts w:hint="eastAsia" w:ascii="宋体" w:hAnsi="宋体" w:eastAsia="宋体" w:cs="宋体"/>
                <w:sz w:val="18"/>
                <w:szCs w:val="18"/>
                <w:lang w:val="en-US" w:eastAsia="zh-CN"/>
              </w:rPr>
              <w:t>培训</w:t>
            </w:r>
            <w:r>
              <w:rPr>
                <w:rFonts w:hint="eastAsia" w:ascii="宋体" w:hAnsi="宋体" w:eastAsia="宋体" w:cs="宋体"/>
                <w:sz w:val="18"/>
                <w:szCs w:val="18"/>
              </w:rPr>
              <w:t>医疗机构检验相关专业人员20名以上</w:t>
            </w:r>
            <w:r>
              <w:rPr>
                <w:rFonts w:hint="eastAsia" w:ascii="宋体" w:hAnsi="宋体" w:eastAsia="宋体" w:cs="宋体"/>
                <w:sz w:val="18"/>
                <w:szCs w:val="18"/>
                <w:lang w:eastAsia="zh-CN"/>
              </w:rPr>
              <w:t>的</w:t>
            </w:r>
            <w:r>
              <w:rPr>
                <w:rFonts w:hint="eastAsia" w:ascii="宋体" w:hAnsi="宋体" w:eastAsia="宋体" w:cs="宋体"/>
                <w:sz w:val="18"/>
                <w:szCs w:val="18"/>
              </w:rPr>
              <w:t>满分，</w:t>
            </w:r>
            <w:r>
              <w:rPr>
                <w:rFonts w:hint="eastAsia" w:ascii="宋体" w:hAnsi="宋体" w:eastAsia="宋体" w:cs="宋体"/>
                <w:kern w:val="0"/>
                <w:sz w:val="18"/>
                <w:szCs w:val="18"/>
              </w:rPr>
              <w:t>每少1人扣1分。</w:t>
            </w:r>
          </w:p>
          <w:p>
            <w:pPr>
              <w:widowControl/>
              <w:spacing w:line="0" w:lineRule="atLeast"/>
              <w:jc w:val="left"/>
              <w:rPr>
                <w:rFonts w:ascii="宋体" w:hAnsi="宋体" w:eastAsia="宋体" w:cs="宋体"/>
                <w:sz w:val="18"/>
                <w:szCs w:val="18"/>
              </w:rPr>
            </w:pP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rPr>
                <w:rFonts w:ascii="宋体" w:hAnsi="宋体" w:eastAsia="宋体" w:cs="宋体"/>
                <w:kern w:val="0"/>
                <w:sz w:val="18"/>
                <w:szCs w:val="18"/>
              </w:rPr>
            </w:pPr>
          </w:p>
        </w:tc>
        <w:tc>
          <w:tcPr>
            <w:tcW w:w="1339"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疫情防控资金补助乡镇数</w:t>
            </w:r>
          </w:p>
          <w:p>
            <w:pPr>
              <w:jc w:val="center"/>
              <w:rPr>
                <w:rFonts w:ascii="宋体" w:hAnsi="宋体" w:eastAsia="宋体" w:cs="宋体"/>
                <w:sz w:val="18"/>
                <w:szCs w:val="18"/>
              </w:rPr>
            </w:pPr>
            <w:r>
              <w:rPr>
                <w:rFonts w:hint="eastAsia" w:ascii="宋体" w:hAnsi="宋体" w:eastAsia="宋体" w:cs="宋体"/>
                <w:sz w:val="18"/>
                <w:szCs w:val="18"/>
              </w:rPr>
              <w:t>（3分）</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用于评价</w:t>
            </w:r>
            <w:r>
              <w:rPr>
                <w:rFonts w:hint="eastAsia" w:ascii="宋体" w:hAnsi="宋体" w:eastAsia="宋体" w:cs="宋体"/>
                <w:sz w:val="18"/>
                <w:szCs w:val="18"/>
              </w:rPr>
              <w:t>防控资金补助乡镇补助数量</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疫情防控资金补助乡镇数18个以上</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满分；每少1个扣1分，扣完为止。</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rPr>
                <w:rFonts w:ascii="宋体" w:hAnsi="宋体" w:eastAsia="宋体" w:cs="宋体"/>
                <w:kern w:val="0"/>
                <w:sz w:val="18"/>
                <w:szCs w:val="18"/>
              </w:rPr>
            </w:pPr>
          </w:p>
        </w:tc>
        <w:tc>
          <w:tcPr>
            <w:tcW w:w="1339"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村社区补助数</w:t>
            </w:r>
          </w:p>
          <w:p>
            <w:pPr>
              <w:jc w:val="center"/>
              <w:rPr>
                <w:rFonts w:ascii="宋体" w:hAnsi="宋体" w:eastAsia="宋体" w:cs="宋体"/>
                <w:sz w:val="18"/>
                <w:szCs w:val="18"/>
              </w:rPr>
            </w:pPr>
            <w:r>
              <w:rPr>
                <w:rFonts w:hint="eastAsia" w:ascii="宋体" w:hAnsi="宋体" w:eastAsia="宋体" w:cs="宋体"/>
                <w:sz w:val="18"/>
                <w:szCs w:val="18"/>
              </w:rPr>
              <w:t>（3分）</w:t>
            </w:r>
          </w:p>
        </w:tc>
        <w:tc>
          <w:tcPr>
            <w:tcW w:w="2213"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用于评价村社区补助数</w:t>
            </w:r>
          </w:p>
          <w:p>
            <w:pPr>
              <w:widowControl/>
              <w:spacing w:line="0" w:lineRule="atLeast"/>
              <w:jc w:val="left"/>
              <w:rPr>
                <w:rFonts w:ascii="宋体" w:hAnsi="宋体" w:eastAsia="宋体" w:cs="宋体"/>
                <w:sz w:val="18"/>
                <w:szCs w:val="18"/>
              </w:rPr>
            </w:pP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村社区补助数达到217</w:t>
            </w:r>
            <w:r>
              <w:rPr>
                <w:rFonts w:hint="eastAsia" w:ascii="宋体" w:hAnsi="宋体" w:eastAsia="宋体" w:cs="宋体"/>
                <w:kern w:val="0"/>
                <w:sz w:val="18"/>
                <w:szCs w:val="18"/>
                <w:lang w:val="en-US" w:eastAsia="zh-CN"/>
              </w:rPr>
              <w:t>个的</w:t>
            </w:r>
            <w:r>
              <w:rPr>
                <w:rFonts w:hint="eastAsia" w:ascii="宋体" w:hAnsi="宋体" w:eastAsia="宋体" w:cs="宋体"/>
                <w:kern w:val="0"/>
                <w:sz w:val="18"/>
                <w:szCs w:val="18"/>
              </w:rPr>
              <w:t>满分；每少1个扣1分，扣完为止。</w:t>
            </w:r>
          </w:p>
          <w:p>
            <w:pPr>
              <w:widowControl/>
              <w:spacing w:line="0" w:lineRule="atLeast"/>
              <w:jc w:val="left"/>
              <w:rPr>
                <w:rFonts w:ascii="宋体" w:hAnsi="宋体" w:eastAsia="宋体" w:cs="宋体"/>
                <w:sz w:val="18"/>
                <w:szCs w:val="18"/>
              </w:rPr>
            </w:pP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rPr>
                <w:rFonts w:ascii="宋体" w:hAnsi="宋体" w:eastAsia="宋体" w:cs="宋体"/>
                <w:kern w:val="0"/>
                <w:sz w:val="18"/>
                <w:szCs w:val="18"/>
              </w:rPr>
            </w:pPr>
          </w:p>
        </w:tc>
        <w:tc>
          <w:tcPr>
            <w:tcW w:w="1339"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核酸检测点设立数量</w:t>
            </w:r>
          </w:p>
          <w:p>
            <w:pPr>
              <w:jc w:val="center"/>
              <w:rPr>
                <w:rFonts w:ascii="宋体" w:hAnsi="宋体" w:eastAsia="宋体" w:cs="宋体"/>
                <w:sz w:val="18"/>
                <w:szCs w:val="18"/>
              </w:rPr>
            </w:pPr>
            <w:r>
              <w:rPr>
                <w:rFonts w:hint="eastAsia" w:ascii="宋体" w:hAnsi="宋体" w:eastAsia="宋体" w:cs="宋体"/>
                <w:sz w:val="18"/>
                <w:szCs w:val="18"/>
              </w:rPr>
              <w:t>（3分）</w:t>
            </w:r>
          </w:p>
        </w:tc>
        <w:tc>
          <w:tcPr>
            <w:tcW w:w="2213"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用于评价核酸检测点设立的数量情况</w:t>
            </w:r>
          </w:p>
          <w:p>
            <w:pPr>
              <w:widowControl/>
              <w:spacing w:line="0" w:lineRule="atLeast"/>
              <w:jc w:val="left"/>
              <w:rPr>
                <w:rFonts w:ascii="宋体" w:hAnsi="宋体" w:eastAsia="宋体" w:cs="宋体"/>
                <w:sz w:val="18"/>
                <w:szCs w:val="18"/>
              </w:rPr>
            </w:pP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核酸检测点设立数量达到应设立数60个以上。得满分；每少1个扣1分，扣完为止。</w:t>
            </w:r>
          </w:p>
          <w:p>
            <w:pPr>
              <w:widowControl/>
              <w:spacing w:line="0" w:lineRule="atLeast"/>
              <w:jc w:val="left"/>
              <w:rPr>
                <w:rFonts w:ascii="宋体" w:hAnsi="宋体" w:eastAsia="宋体" w:cs="宋体"/>
                <w:sz w:val="18"/>
                <w:szCs w:val="18"/>
              </w:rPr>
            </w:pP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restart"/>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产出质量</w:t>
            </w:r>
          </w:p>
          <w:p>
            <w:pPr>
              <w:jc w:val="center"/>
              <w:rPr>
                <w:rFonts w:ascii="宋体" w:hAnsi="宋体" w:eastAsia="宋体" w:cs="宋体"/>
                <w:kern w:val="0"/>
                <w:sz w:val="18"/>
                <w:szCs w:val="18"/>
              </w:rPr>
            </w:pPr>
            <w:r>
              <w:rPr>
                <w:rFonts w:hint="eastAsia" w:ascii="宋体" w:hAnsi="宋体" w:eastAsia="宋体" w:cs="宋体"/>
                <w:kern w:val="0"/>
                <w:sz w:val="18"/>
                <w:szCs w:val="18"/>
              </w:rPr>
              <w:t>（12分）</w:t>
            </w:r>
          </w:p>
          <w:p>
            <w:pPr>
              <w:jc w:val="center"/>
              <w:rPr>
                <w:rFonts w:ascii="宋体" w:hAnsi="宋体" w:eastAsia="宋体" w:cs="宋体"/>
                <w:kern w:val="0"/>
                <w:sz w:val="18"/>
                <w:szCs w:val="18"/>
              </w:rPr>
            </w:pPr>
          </w:p>
        </w:tc>
        <w:tc>
          <w:tcPr>
            <w:tcW w:w="1339" w:type="dxa"/>
            <w:vAlign w:val="center"/>
          </w:tcPr>
          <w:p>
            <w:pPr>
              <w:jc w:val="center"/>
              <w:rPr>
                <w:rFonts w:ascii="宋体" w:hAnsi="宋体" w:eastAsia="宋体" w:cs="宋体"/>
                <w:sz w:val="18"/>
                <w:szCs w:val="18"/>
              </w:rPr>
            </w:pPr>
            <w:r>
              <w:rPr>
                <w:rFonts w:hint="eastAsia" w:ascii="宋体" w:hAnsi="宋体" w:eastAsia="宋体" w:cs="宋体"/>
                <w:sz w:val="18"/>
                <w:szCs w:val="18"/>
              </w:rPr>
              <w:t>摸底排查情况</w:t>
            </w:r>
          </w:p>
          <w:p>
            <w:pPr>
              <w:jc w:val="center"/>
              <w:rPr>
                <w:rFonts w:ascii="宋体" w:hAnsi="宋体" w:eastAsia="宋体" w:cs="宋体"/>
                <w:sz w:val="18"/>
                <w:szCs w:val="18"/>
              </w:rPr>
            </w:pPr>
            <w:r>
              <w:rPr>
                <w:rFonts w:hint="eastAsia" w:ascii="宋体" w:hAnsi="宋体" w:eastAsia="宋体" w:cs="宋体"/>
                <w:sz w:val="18"/>
                <w:szCs w:val="18"/>
              </w:rPr>
              <w:t>（3分）</w:t>
            </w:r>
          </w:p>
        </w:tc>
        <w:tc>
          <w:tcPr>
            <w:tcW w:w="2213" w:type="dxa"/>
            <w:vAlign w:val="center"/>
          </w:tcPr>
          <w:p>
            <w:pPr>
              <w:widowControl/>
              <w:spacing w:line="0" w:lineRule="atLeast"/>
              <w:jc w:val="left"/>
              <w:rPr>
                <w:rFonts w:ascii="宋体" w:hAnsi="宋体" w:eastAsia="宋体" w:cs="宋体"/>
                <w:sz w:val="18"/>
                <w:szCs w:val="18"/>
              </w:rPr>
            </w:pPr>
            <w:r>
              <w:rPr>
                <w:rFonts w:hint="eastAsia" w:ascii="宋体" w:hAnsi="宋体" w:eastAsia="宋体" w:cs="宋体"/>
                <w:sz w:val="18"/>
                <w:szCs w:val="18"/>
              </w:rPr>
              <w:t>用于衡量疫情期间各乡镇落实网格化动态管理</w:t>
            </w:r>
          </w:p>
        </w:tc>
        <w:tc>
          <w:tcPr>
            <w:tcW w:w="2973"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cs="宋体"/>
                <w:sz w:val="18"/>
                <w:szCs w:val="18"/>
              </w:rPr>
            </w:pPr>
            <w:r>
              <w:rPr>
                <w:rFonts w:hint="eastAsia" w:ascii="宋体" w:hAnsi="宋体" w:eastAsia="宋体" w:cs="宋体"/>
                <w:kern w:val="0"/>
                <w:sz w:val="18"/>
                <w:szCs w:val="18"/>
              </w:rPr>
              <w:t>实行网格化动态管理，覆盖面广</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满分，否则按实际情况扣分。</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合同规范性</w:t>
            </w:r>
          </w:p>
          <w:p>
            <w:pPr>
              <w:widowControl/>
              <w:jc w:val="center"/>
              <w:rPr>
                <w:rFonts w:ascii="宋体" w:hAnsi="宋体" w:eastAsia="宋体" w:cs="宋体"/>
                <w:sz w:val="18"/>
                <w:szCs w:val="18"/>
              </w:rPr>
            </w:pPr>
            <w:r>
              <w:rPr>
                <w:rFonts w:hint="eastAsia" w:ascii="宋体" w:hAnsi="宋体" w:eastAsia="宋体" w:cs="宋体"/>
                <w:sz w:val="18"/>
                <w:szCs w:val="18"/>
              </w:rPr>
              <w:t>（3分）</w:t>
            </w:r>
          </w:p>
        </w:tc>
        <w:tc>
          <w:tcPr>
            <w:tcW w:w="2213" w:type="dxa"/>
            <w:vAlign w:val="top"/>
          </w:tcPr>
          <w:p>
            <w:pPr>
              <w:widowControl/>
              <w:textAlignment w:val="center"/>
              <w:rPr>
                <w:rFonts w:ascii="宋体" w:hAnsi="宋体" w:eastAsia="宋体" w:cs="宋体"/>
                <w:bCs/>
                <w:color w:val="000000"/>
                <w:kern w:val="0"/>
                <w:sz w:val="18"/>
                <w:szCs w:val="18"/>
              </w:rPr>
            </w:pPr>
          </w:p>
          <w:p>
            <w:pPr>
              <w:widowControl/>
              <w:textAlignment w:val="center"/>
              <w:rPr>
                <w:rFonts w:ascii="宋体" w:hAnsi="宋体" w:eastAsia="宋体" w:cs="宋体"/>
                <w:bCs/>
                <w:color w:val="000000"/>
                <w:kern w:val="0"/>
                <w:sz w:val="18"/>
                <w:szCs w:val="18"/>
              </w:rPr>
            </w:pPr>
          </w:p>
          <w:p>
            <w:pPr>
              <w:widowControl/>
              <w:textAlignment w:val="center"/>
              <w:rPr>
                <w:rFonts w:ascii="宋体" w:hAnsi="宋体" w:eastAsia="宋体" w:cs="宋体"/>
                <w:sz w:val="18"/>
                <w:szCs w:val="18"/>
              </w:rPr>
            </w:pPr>
            <w:r>
              <w:rPr>
                <w:rFonts w:hint="eastAsia" w:ascii="宋体" w:hAnsi="宋体" w:eastAsia="宋体" w:cs="宋体"/>
                <w:bCs/>
                <w:color w:val="000000"/>
                <w:kern w:val="0"/>
                <w:sz w:val="18"/>
                <w:szCs w:val="18"/>
              </w:rPr>
              <w:t>合同管理衡量项目单位的合同管理是否规范。</w:t>
            </w:r>
          </w:p>
        </w:tc>
        <w:tc>
          <w:tcPr>
            <w:tcW w:w="2973" w:type="dxa"/>
            <w:vAlign w:val="center"/>
          </w:tcPr>
          <w:p>
            <w:pPr>
              <w:widowControl/>
              <w:textAlignment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评价要点：</w:t>
            </w:r>
          </w:p>
          <w:p>
            <w:pPr>
              <w:widowControl/>
              <w:textAlignment w:val="center"/>
              <w:rPr>
                <w:rFonts w:ascii="宋体" w:hAnsi="宋体" w:eastAsia="宋体" w:cs="宋体"/>
                <w:sz w:val="18"/>
                <w:szCs w:val="18"/>
              </w:rPr>
            </w:pPr>
            <w:r>
              <w:rPr>
                <w:rFonts w:hint="eastAsia" w:ascii="宋体" w:hAnsi="宋体" w:eastAsia="宋体" w:cs="宋体"/>
                <w:bCs/>
                <w:color w:val="000000"/>
                <w:kern w:val="0"/>
                <w:sz w:val="18"/>
                <w:szCs w:val="18"/>
              </w:rPr>
              <w:t>合同签署的双方签字</w:t>
            </w:r>
            <w:r>
              <w:rPr>
                <w:rFonts w:hint="eastAsia" w:ascii="宋体" w:hAnsi="宋体" w:eastAsia="宋体" w:cs="宋体"/>
                <w:sz w:val="18"/>
                <w:szCs w:val="18"/>
              </w:rPr>
              <w:t>；</w:t>
            </w:r>
          </w:p>
          <w:p>
            <w:pPr>
              <w:widowControl/>
              <w:textAlignment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合同的内容和权责应该明确；</w:t>
            </w:r>
          </w:p>
          <w:p>
            <w:pPr>
              <w:widowControl/>
              <w:textAlignment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日期是否填写完整；</w:t>
            </w:r>
          </w:p>
          <w:p>
            <w:pPr>
              <w:widowControl/>
              <w:textAlignment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是否按照合同约定要求进行支付。</w:t>
            </w:r>
          </w:p>
          <w:p>
            <w:pPr>
              <w:widowControl/>
              <w:textAlignment w:val="center"/>
              <w:rPr>
                <w:rFonts w:ascii="宋体" w:hAnsi="宋体" w:eastAsia="宋体" w:cs="宋体"/>
                <w:sz w:val="18"/>
                <w:szCs w:val="18"/>
              </w:rPr>
            </w:pPr>
            <w:r>
              <w:rPr>
                <w:rFonts w:hint="eastAsia" w:ascii="宋体" w:hAnsi="宋体" w:eastAsia="宋体" w:cs="宋体"/>
                <w:bCs/>
                <w:color w:val="000000"/>
                <w:kern w:val="0"/>
                <w:sz w:val="18"/>
                <w:szCs w:val="18"/>
              </w:rPr>
              <w:t>一项不符扣1分。</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申请与审批流程效率</w:t>
            </w:r>
          </w:p>
          <w:p>
            <w:pPr>
              <w:widowControl/>
              <w:jc w:val="center"/>
              <w:rPr>
                <w:rFonts w:ascii="宋体" w:hAnsi="宋体" w:eastAsia="宋体" w:cs="宋体"/>
                <w:sz w:val="18"/>
                <w:szCs w:val="18"/>
              </w:rPr>
            </w:pPr>
            <w:r>
              <w:rPr>
                <w:rFonts w:hint="eastAsia" w:ascii="宋体" w:hAnsi="宋体" w:eastAsia="宋体" w:cs="宋体"/>
                <w:sz w:val="18"/>
                <w:szCs w:val="18"/>
              </w:rPr>
              <w:t>（3分）</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该指标用于评估疫情防控项目的申请与审批流程效率，统计从受援者提交申请到审批完成所需的平均时间。</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该指标用于评估疫情防控项目的申请与审批流程效率，统计从受援者提交申请到审批完成所需的平均时间。根据实际调查情况扣分。</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908" w:type="dxa"/>
            <w:vMerge w:val="continue"/>
            <w:vAlign w:val="center"/>
          </w:tcPr>
          <w:p>
            <w:pPr>
              <w:jc w:val="center"/>
              <w:rPr>
                <w:rFonts w:ascii="宋体" w:hAnsi="宋体" w:eastAsia="宋体" w:cs="宋体"/>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物资储备</w:t>
            </w:r>
          </w:p>
          <w:p>
            <w:pPr>
              <w:widowControl/>
              <w:jc w:val="center"/>
              <w:rPr>
                <w:rFonts w:ascii="宋体" w:hAnsi="宋体" w:eastAsia="宋体" w:cs="宋体"/>
                <w:sz w:val="18"/>
                <w:szCs w:val="18"/>
              </w:rPr>
            </w:pPr>
            <w:r>
              <w:rPr>
                <w:rFonts w:hint="eastAsia" w:ascii="宋体" w:hAnsi="宋体" w:eastAsia="宋体" w:cs="宋体"/>
                <w:sz w:val="18"/>
                <w:szCs w:val="18"/>
              </w:rPr>
              <w:t>充足性</w:t>
            </w:r>
          </w:p>
          <w:p>
            <w:pPr>
              <w:widowControl/>
              <w:jc w:val="center"/>
              <w:rPr>
                <w:rFonts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3分</w:t>
            </w:r>
            <w:r>
              <w:rPr>
                <w:rFonts w:hint="eastAsia" w:ascii="宋体" w:hAnsi="宋体" w:eastAsia="宋体" w:cs="宋体"/>
                <w:sz w:val="18"/>
                <w:szCs w:val="18"/>
                <w:lang w:eastAsia="zh-CN"/>
              </w:rPr>
              <w:t>）</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用于衡量物资储备是否充足性</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指标用于评估疫情防控物资储备充足性</w:t>
            </w:r>
          </w:p>
          <w:p>
            <w:pPr>
              <w:widowControl/>
              <w:spacing w:line="0" w:lineRule="atLeast"/>
              <w:jc w:val="left"/>
              <w:rPr>
                <w:rFonts w:ascii="宋体" w:hAnsi="宋体" w:eastAsia="宋体" w:cs="宋体"/>
                <w:sz w:val="18"/>
                <w:szCs w:val="18"/>
                <w:lang w:val="zh-TW" w:bidi="zh-TW"/>
              </w:rPr>
            </w:pPr>
            <w:r>
              <w:rPr>
                <w:rFonts w:hint="eastAsia" w:ascii="宋体" w:hAnsi="宋体" w:eastAsia="宋体" w:cs="宋体"/>
                <w:kern w:val="0"/>
                <w:sz w:val="18"/>
                <w:szCs w:val="18"/>
              </w:rPr>
              <w:t>。根据实际调查情况扣分。</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8" w:type="dxa"/>
            <w:vMerge w:val="continue"/>
            <w:vAlign w:val="center"/>
          </w:tcPr>
          <w:p>
            <w:pPr>
              <w:jc w:val="center"/>
              <w:rPr>
                <w:rFonts w:ascii="宋体" w:hAnsi="宋体" w:eastAsia="宋体" w:cs="宋体"/>
                <w:kern w:val="0"/>
                <w:sz w:val="18"/>
                <w:szCs w:val="18"/>
              </w:rPr>
            </w:pPr>
          </w:p>
        </w:tc>
        <w:tc>
          <w:tcPr>
            <w:tcW w:w="953" w:type="dxa"/>
            <w:vAlign w:val="center"/>
          </w:tcPr>
          <w:p>
            <w:pPr>
              <w:jc w:val="center"/>
              <w:rPr>
                <w:rFonts w:ascii="宋体" w:hAnsi="宋体" w:eastAsia="宋体" w:cs="宋体"/>
                <w:sz w:val="18"/>
                <w:szCs w:val="18"/>
              </w:rPr>
            </w:pPr>
          </w:p>
          <w:p>
            <w:pPr>
              <w:jc w:val="center"/>
              <w:rPr>
                <w:rFonts w:ascii="宋体" w:hAnsi="宋体" w:eastAsia="宋体" w:cs="宋体"/>
                <w:sz w:val="18"/>
                <w:szCs w:val="18"/>
              </w:rPr>
            </w:pPr>
            <w:r>
              <w:rPr>
                <w:rFonts w:hint="eastAsia" w:ascii="宋体" w:hAnsi="宋体" w:eastAsia="宋体" w:cs="宋体"/>
                <w:sz w:val="18"/>
                <w:szCs w:val="18"/>
              </w:rPr>
              <w:t>产出时效</w:t>
            </w:r>
          </w:p>
          <w:p>
            <w:pPr>
              <w:jc w:val="center"/>
              <w:rPr>
                <w:rFonts w:ascii="宋体" w:hAnsi="宋体" w:eastAsia="宋体" w:cs="宋体"/>
                <w:kern w:val="0"/>
                <w:sz w:val="18"/>
                <w:szCs w:val="18"/>
              </w:rPr>
            </w:pPr>
            <w:r>
              <w:rPr>
                <w:rFonts w:hint="eastAsia" w:ascii="宋体" w:hAnsi="宋体" w:eastAsia="宋体" w:cs="宋体"/>
                <w:kern w:val="0"/>
                <w:sz w:val="18"/>
                <w:szCs w:val="18"/>
              </w:rPr>
              <w:t>（4分）</w:t>
            </w:r>
          </w:p>
          <w:p>
            <w:pPr>
              <w:rPr>
                <w:rFonts w:ascii="宋体" w:hAnsi="宋体" w:eastAsia="宋体" w:cs="宋体"/>
                <w:sz w:val="18"/>
                <w:szCs w:val="18"/>
              </w:rPr>
            </w:pPr>
          </w:p>
        </w:tc>
        <w:tc>
          <w:tcPr>
            <w:tcW w:w="1339"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疫情防控资金发放及时性</w:t>
            </w:r>
          </w:p>
          <w:p>
            <w:pPr>
              <w:widowControl/>
              <w:jc w:val="center"/>
              <w:rPr>
                <w:rFonts w:ascii="宋体" w:hAnsi="宋体" w:eastAsia="宋体" w:cs="宋体"/>
                <w:sz w:val="18"/>
                <w:szCs w:val="18"/>
              </w:rPr>
            </w:pPr>
            <w:r>
              <w:rPr>
                <w:rFonts w:hint="eastAsia" w:ascii="宋体" w:hAnsi="宋体" w:eastAsia="宋体" w:cs="宋体"/>
                <w:sz w:val="18"/>
                <w:szCs w:val="18"/>
              </w:rPr>
              <w:t>（4分）</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用于衡量发放及时性</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用于衡量发放及时性：统计经济援助、物品和服务等援助措施的发放时间是否及时，根据实际调查情况扣分</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08" w:type="dxa"/>
            <w:vMerge w:val="continue"/>
            <w:vAlign w:val="center"/>
          </w:tcPr>
          <w:p>
            <w:pPr>
              <w:jc w:val="center"/>
              <w:rPr>
                <w:rFonts w:ascii="宋体" w:hAnsi="宋体" w:eastAsia="宋体" w:cs="宋体"/>
                <w:kern w:val="0"/>
                <w:sz w:val="18"/>
                <w:szCs w:val="18"/>
              </w:rPr>
            </w:pPr>
          </w:p>
        </w:tc>
        <w:tc>
          <w:tcPr>
            <w:tcW w:w="953" w:type="dxa"/>
            <w:vAlign w:val="center"/>
          </w:tcPr>
          <w:p>
            <w:pPr>
              <w:rPr>
                <w:rFonts w:ascii="宋体" w:hAnsi="宋体" w:eastAsia="宋体" w:cs="宋体"/>
                <w:sz w:val="18"/>
                <w:szCs w:val="18"/>
              </w:rPr>
            </w:pPr>
            <w:r>
              <w:rPr>
                <w:rFonts w:hint="eastAsia" w:ascii="宋体" w:hAnsi="宋体" w:eastAsia="宋体" w:cs="宋体"/>
                <w:sz w:val="18"/>
                <w:szCs w:val="18"/>
              </w:rPr>
              <w:t>产出成本</w:t>
            </w:r>
          </w:p>
          <w:p>
            <w:pPr>
              <w:jc w:val="center"/>
              <w:rPr>
                <w:rFonts w:ascii="宋体" w:hAnsi="宋体" w:eastAsia="宋体" w:cs="宋体"/>
                <w:kern w:val="0"/>
                <w:sz w:val="18"/>
                <w:szCs w:val="18"/>
              </w:rPr>
            </w:pPr>
            <w:r>
              <w:rPr>
                <w:rFonts w:hint="eastAsia" w:ascii="宋体" w:hAnsi="宋体" w:eastAsia="宋体" w:cs="宋体"/>
                <w:kern w:val="0"/>
                <w:sz w:val="18"/>
                <w:szCs w:val="18"/>
              </w:rPr>
              <w:t>（4分）</w:t>
            </w:r>
          </w:p>
          <w:p>
            <w:pPr>
              <w:rPr>
                <w:rFonts w:ascii="宋体" w:hAnsi="宋体" w:eastAsia="宋体" w:cs="宋体"/>
                <w:sz w:val="18"/>
                <w:szCs w:val="18"/>
              </w:rPr>
            </w:pPr>
          </w:p>
        </w:tc>
        <w:tc>
          <w:tcPr>
            <w:tcW w:w="1339" w:type="dxa"/>
            <w:vAlign w:val="center"/>
          </w:tcPr>
          <w:p>
            <w:pPr>
              <w:jc w:val="center"/>
              <w:rPr>
                <w:rFonts w:ascii="宋体" w:hAnsi="宋体" w:eastAsia="宋体" w:cs="宋体"/>
                <w:sz w:val="18"/>
                <w:szCs w:val="18"/>
              </w:rPr>
            </w:pPr>
            <w:r>
              <w:rPr>
                <w:rFonts w:hint="eastAsia" w:ascii="宋体" w:hAnsi="宋体" w:eastAsia="宋体" w:cs="宋体"/>
                <w:sz w:val="18"/>
                <w:szCs w:val="18"/>
              </w:rPr>
              <w:t>资金控制成本率</w:t>
            </w:r>
          </w:p>
          <w:p>
            <w:pPr>
              <w:jc w:val="center"/>
              <w:rPr>
                <w:rFonts w:ascii="宋体" w:hAnsi="宋体" w:eastAsia="宋体" w:cs="宋体"/>
                <w:sz w:val="18"/>
                <w:szCs w:val="18"/>
              </w:rPr>
            </w:pPr>
            <w:r>
              <w:rPr>
                <w:rFonts w:hint="eastAsia" w:ascii="宋体" w:hAnsi="宋体" w:eastAsia="宋体" w:cs="宋体"/>
                <w:sz w:val="18"/>
                <w:szCs w:val="18"/>
              </w:rPr>
              <w:t>（4分）</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成本控制率＝截至年末累计支出数/概算或当年度预算×100%。</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小于等于100%</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满分，每大于10%，一项扣1分。</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效益</w:t>
            </w:r>
          </w:p>
          <w:p>
            <w:pPr>
              <w:jc w:val="center"/>
              <w:rPr>
                <w:rFonts w:ascii="宋体" w:hAnsi="宋体" w:eastAsia="宋体" w:cs="宋体"/>
                <w:kern w:val="0"/>
                <w:sz w:val="18"/>
                <w:szCs w:val="18"/>
              </w:rPr>
            </w:pPr>
            <w:r>
              <w:rPr>
                <w:rFonts w:hint="eastAsia" w:ascii="宋体" w:hAnsi="宋体" w:eastAsia="宋体" w:cs="宋体"/>
                <w:kern w:val="0"/>
                <w:sz w:val="18"/>
                <w:szCs w:val="18"/>
              </w:rPr>
              <w:t>（30分）</w:t>
            </w:r>
          </w:p>
          <w:p>
            <w:pPr>
              <w:rPr>
                <w:rFonts w:ascii="宋体" w:hAnsi="宋体" w:eastAsia="宋体" w:cs="宋体"/>
                <w:kern w:val="0"/>
                <w:sz w:val="18"/>
                <w:szCs w:val="18"/>
              </w:rPr>
            </w:pPr>
          </w:p>
          <w:p>
            <w:pPr>
              <w:rPr>
                <w:rFonts w:ascii="宋体" w:hAnsi="宋体" w:eastAsia="宋体" w:cs="宋体"/>
                <w:kern w:val="0"/>
                <w:sz w:val="18"/>
                <w:szCs w:val="18"/>
              </w:rPr>
            </w:pPr>
          </w:p>
          <w:p>
            <w:pPr>
              <w:rPr>
                <w:rFonts w:ascii="宋体" w:hAnsi="宋体" w:eastAsia="宋体" w:cs="宋体"/>
                <w:kern w:val="0"/>
                <w:sz w:val="18"/>
                <w:szCs w:val="18"/>
              </w:rPr>
            </w:pPr>
          </w:p>
          <w:p>
            <w:pPr>
              <w:rPr>
                <w:rFonts w:ascii="宋体" w:hAnsi="宋体" w:eastAsia="宋体" w:cs="宋体"/>
                <w:kern w:val="0"/>
                <w:sz w:val="18"/>
                <w:szCs w:val="18"/>
              </w:rPr>
            </w:pPr>
          </w:p>
          <w:p>
            <w:pPr>
              <w:rPr>
                <w:rFonts w:ascii="宋体" w:hAnsi="宋体" w:eastAsia="宋体" w:cs="宋体"/>
                <w:kern w:val="0"/>
                <w:sz w:val="18"/>
                <w:szCs w:val="18"/>
              </w:rPr>
            </w:pPr>
          </w:p>
        </w:tc>
        <w:tc>
          <w:tcPr>
            <w:tcW w:w="953" w:type="dxa"/>
            <w:vMerge w:val="restart"/>
            <w:vAlign w:val="center"/>
          </w:tcPr>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hint="eastAsia" w:ascii="宋体" w:hAnsi="宋体" w:eastAsia="宋体" w:cs="宋体"/>
                <w:kern w:val="0"/>
                <w:sz w:val="18"/>
                <w:szCs w:val="18"/>
                <w:lang w:bidi="ar"/>
              </w:rPr>
              <w:t>经济效益</w:t>
            </w:r>
          </w:p>
          <w:p>
            <w:pPr>
              <w:widowControl/>
              <w:jc w:val="center"/>
              <w:rPr>
                <w:rFonts w:ascii="宋体" w:hAnsi="宋体" w:eastAsia="宋体" w:cs="宋体"/>
                <w:kern w:val="0"/>
                <w:sz w:val="18"/>
                <w:szCs w:val="18"/>
              </w:rPr>
            </w:pPr>
            <w:r>
              <w:rPr>
                <w:rFonts w:hint="eastAsia" w:ascii="宋体" w:hAnsi="宋体" w:eastAsia="宋体" w:cs="宋体"/>
                <w:kern w:val="0"/>
                <w:sz w:val="18"/>
                <w:szCs w:val="18"/>
                <w:lang w:bidi="ar"/>
              </w:rPr>
              <w:t>（8分）</w:t>
            </w:r>
          </w:p>
          <w:p>
            <w:pPr>
              <w:rPr>
                <w:rFonts w:ascii="宋体" w:hAnsi="宋体" w:eastAsia="宋体" w:cs="宋体"/>
                <w:sz w:val="18"/>
                <w:szCs w:val="18"/>
              </w:rPr>
            </w:pPr>
          </w:p>
        </w:tc>
        <w:tc>
          <w:tcPr>
            <w:tcW w:w="1339" w:type="dxa"/>
            <w:vAlign w:val="center"/>
          </w:tcPr>
          <w:p>
            <w:pPr>
              <w:jc w:val="center"/>
              <w:rPr>
                <w:rFonts w:ascii="宋体" w:hAnsi="宋体" w:eastAsia="宋体" w:cs="宋体"/>
                <w:sz w:val="18"/>
                <w:szCs w:val="18"/>
              </w:rPr>
            </w:pPr>
            <w:r>
              <w:rPr>
                <w:rFonts w:hint="eastAsia" w:ascii="宋体" w:hAnsi="宋体" w:eastAsia="宋体" w:cs="宋体"/>
                <w:sz w:val="18"/>
                <w:szCs w:val="18"/>
              </w:rPr>
              <w:t>企业复工率</w:t>
            </w:r>
          </w:p>
          <w:p>
            <w:pPr>
              <w:jc w:val="center"/>
              <w:rPr>
                <w:rFonts w:ascii="宋体" w:hAnsi="宋体" w:eastAsia="宋体" w:cs="宋体"/>
                <w:sz w:val="18"/>
                <w:szCs w:val="18"/>
              </w:rPr>
            </w:pPr>
            <w:r>
              <w:rPr>
                <w:rFonts w:hint="eastAsia" w:ascii="宋体" w:hAnsi="宋体" w:eastAsia="宋体" w:cs="宋体"/>
                <w:sz w:val="18"/>
                <w:szCs w:val="18"/>
              </w:rPr>
              <w:t>（4分）</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用于评价</w:t>
            </w:r>
            <w:r>
              <w:rPr>
                <w:rFonts w:hint="eastAsia" w:ascii="宋体" w:hAnsi="宋体" w:eastAsia="宋体" w:cs="宋体"/>
                <w:sz w:val="18"/>
                <w:szCs w:val="18"/>
              </w:rPr>
              <w:t>企业复工情况</w:t>
            </w:r>
            <w:r>
              <w:rPr>
                <w:rFonts w:hint="eastAsia" w:ascii="宋体" w:hAnsi="宋体" w:eastAsia="宋体" w:cs="宋体"/>
                <w:sz w:val="18"/>
                <w:szCs w:val="18"/>
                <w:lang w:val="en-US" w:eastAsia="zh-CN"/>
              </w:rPr>
              <w:t>的比例</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sz w:val="18"/>
                <w:szCs w:val="18"/>
              </w:rPr>
            </w:pPr>
            <w:r>
              <w:rPr>
                <w:rFonts w:hint="eastAsia" w:ascii="宋体" w:hAnsi="宋体" w:eastAsia="宋体" w:cs="宋体"/>
                <w:kern w:val="0"/>
                <w:sz w:val="18"/>
                <w:szCs w:val="18"/>
              </w:rPr>
              <w:t>大于等于100%得满分，每少100人扣1分，扣完为止。</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08" w:type="dxa"/>
            <w:vMerge w:val="continue"/>
            <w:vAlign w:val="center"/>
          </w:tcPr>
          <w:p>
            <w:pPr>
              <w:rPr>
                <w:rFonts w:ascii="宋体" w:hAnsi="宋体" w:eastAsia="宋体" w:cs="宋体"/>
                <w:kern w:val="0"/>
                <w:sz w:val="18"/>
                <w:szCs w:val="18"/>
              </w:rPr>
            </w:pPr>
          </w:p>
        </w:tc>
        <w:tc>
          <w:tcPr>
            <w:tcW w:w="953" w:type="dxa"/>
            <w:vMerge w:val="continue"/>
            <w:vAlign w:val="center"/>
          </w:tcPr>
          <w:p>
            <w:pPr>
              <w:rPr>
                <w:rFonts w:ascii="宋体" w:hAnsi="宋体" w:eastAsia="宋体" w:cs="宋体"/>
                <w:sz w:val="18"/>
                <w:szCs w:val="18"/>
              </w:rPr>
            </w:pPr>
          </w:p>
        </w:tc>
        <w:tc>
          <w:tcPr>
            <w:tcW w:w="1339" w:type="dxa"/>
            <w:vAlign w:val="center"/>
          </w:tcPr>
          <w:p>
            <w:pPr>
              <w:jc w:val="center"/>
              <w:rPr>
                <w:rFonts w:ascii="宋体" w:hAnsi="宋体" w:eastAsia="宋体" w:cs="宋体"/>
                <w:sz w:val="18"/>
                <w:szCs w:val="18"/>
              </w:rPr>
            </w:pPr>
            <w:r>
              <w:rPr>
                <w:rFonts w:hint="eastAsia" w:ascii="宋体" w:hAnsi="宋体" w:eastAsia="宋体" w:cs="宋体"/>
                <w:sz w:val="18"/>
                <w:szCs w:val="18"/>
              </w:rPr>
              <w:t>单日检测人次</w:t>
            </w:r>
          </w:p>
          <w:p>
            <w:pPr>
              <w:jc w:val="center"/>
              <w:rPr>
                <w:rFonts w:ascii="宋体" w:hAnsi="宋体" w:eastAsia="宋体" w:cs="宋体"/>
                <w:sz w:val="18"/>
                <w:szCs w:val="18"/>
              </w:rPr>
            </w:pPr>
            <w:r>
              <w:rPr>
                <w:rFonts w:hint="eastAsia" w:ascii="宋体" w:hAnsi="宋体" w:eastAsia="宋体" w:cs="宋体"/>
                <w:sz w:val="18"/>
                <w:szCs w:val="18"/>
              </w:rPr>
              <w:t>（4分）</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用于评价是否可实现单日内完成全县全员核酸检测目标要求30万人次以上。</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单日内完成全县全员核酸检测目标要求30万人次以上得满分，每少100人扣1分，扣完为止。</w:t>
            </w:r>
          </w:p>
        </w:tc>
        <w:tc>
          <w:tcPr>
            <w:tcW w:w="809"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8" w:type="dxa"/>
            <w:vMerge w:val="continue"/>
          </w:tcPr>
          <w:p>
            <w:pPr>
              <w:rPr>
                <w:rFonts w:ascii="宋体" w:hAnsi="宋体" w:eastAsia="宋体" w:cs="宋体"/>
                <w:kern w:val="0"/>
                <w:sz w:val="18"/>
                <w:szCs w:val="18"/>
              </w:rPr>
            </w:pPr>
          </w:p>
        </w:tc>
        <w:tc>
          <w:tcPr>
            <w:tcW w:w="953" w:type="dxa"/>
            <w:vAlign w:val="center"/>
          </w:tcPr>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hint="eastAsia" w:ascii="宋体" w:hAnsi="宋体" w:eastAsia="宋体" w:cs="宋体"/>
                <w:kern w:val="0"/>
                <w:sz w:val="18"/>
                <w:szCs w:val="18"/>
                <w:lang w:bidi="ar"/>
              </w:rPr>
              <w:t>社会效益</w:t>
            </w:r>
          </w:p>
          <w:p>
            <w:pPr>
              <w:widowControl/>
              <w:jc w:val="center"/>
              <w:rPr>
                <w:rFonts w:ascii="宋体" w:hAnsi="宋体" w:eastAsia="宋体" w:cs="宋体"/>
                <w:kern w:val="0"/>
                <w:sz w:val="18"/>
                <w:szCs w:val="18"/>
              </w:rPr>
            </w:pPr>
            <w:r>
              <w:rPr>
                <w:rFonts w:hint="eastAsia" w:ascii="宋体" w:hAnsi="宋体" w:eastAsia="宋体" w:cs="宋体"/>
                <w:kern w:val="0"/>
                <w:sz w:val="18"/>
                <w:szCs w:val="18"/>
                <w:lang w:bidi="ar"/>
              </w:rPr>
              <w:t>（4分）</w:t>
            </w:r>
          </w:p>
          <w:p>
            <w:pPr>
              <w:jc w:val="center"/>
              <w:rPr>
                <w:rFonts w:ascii="宋体" w:hAnsi="宋体" w:eastAsia="宋体" w:cs="宋体"/>
                <w:kern w:val="0"/>
                <w:sz w:val="18"/>
                <w:szCs w:val="18"/>
              </w:rPr>
            </w:pPr>
          </w:p>
        </w:tc>
        <w:tc>
          <w:tcPr>
            <w:tcW w:w="1339" w:type="dxa"/>
            <w:vAlign w:val="center"/>
          </w:tcPr>
          <w:p>
            <w:pPr>
              <w:widowControl/>
              <w:jc w:val="center"/>
              <w:rPr>
                <w:rFonts w:ascii="宋体" w:hAnsi="宋体" w:eastAsia="宋体" w:cs="宋体"/>
                <w:sz w:val="18"/>
                <w:szCs w:val="18"/>
              </w:rPr>
            </w:pPr>
          </w:p>
          <w:p>
            <w:pPr>
              <w:widowControl/>
              <w:jc w:val="center"/>
              <w:rPr>
                <w:rFonts w:ascii="宋体" w:hAnsi="宋体" w:eastAsia="宋体" w:cs="宋体"/>
                <w:sz w:val="18"/>
                <w:szCs w:val="18"/>
              </w:rPr>
            </w:pPr>
            <w:r>
              <w:rPr>
                <w:rFonts w:hint="eastAsia" w:ascii="宋体" w:hAnsi="宋体" w:eastAsia="宋体" w:cs="宋体"/>
                <w:sz w:val="18"/>
                <w:szCs w:val="18"/>
              </w:rPr>
              <w:t>政策宣传</w:t>
            </w:r>
          </w:p>
          <w:p>
            <w:pPr>
              <w:widowControl/>
              <w:jc w:val="center"/>
              <w:rPr>
                <w:rFonts w:ascii="宋体" w:hAnsi="宋体" w:eastAsia="宋体" w:cs="宋体"/>
                <w:sz w:val="18"/>
                <w:szCs w:val="18"/>
                <w:highlight w:val="yellow"/>
              </w:rPr>
            </w:pPr>
            <w:r>
              <w:rPr>
                <w:rFonts w:hint="eastAsia" w:ascii="宋体" w:hAnsi="宋体" w:eastAsia="宋体" w:cs="宋体"/>
                <w:sz w:val="18"/>
                <w:szCs w:val="18"/>
              </w:rPr>
              <w:t>（4分）</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用于评价</w:t>
            </w:r>
            <w:r>
              <w:rPr>
                <w:rFonts w:hint="eastAsia" w:ascii="宋体" w:hAnsi="宋体" w:eastAsia="宋体" w:cs="宋体"/>
                <w:kern w:val="0"/>
                <w:sz w:val="18"/>
                <w:szCs w:val="18"/>
                <w:lang w:val="en-US" w:eastAsia="zh-CN"/>
              </w:rPr>
              <w:t>疫情防控期间</w:t>
            </w:r>
            <w:r>
              <w:rPr>
                <w:rFonts w:hint="eastAsia" w:ascii="宋体" w:hAnsi="宋体" w:eastAsia="宋体" w:cs="宋体"/>
                <w:kern w:val="0"/>
                <w:sz w:val="18"/>
                <w:szCs w:val="18"/>
              </w:rPr>
              <w:t>政策宣传情况</w:t>
            </w:r>
          </w:p>
        </w:tc>
        <w:tc>
          <w:tcPr>
            <w:tcW w:w="297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①是否开展社会救助进村（居）宣讲活动；</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②是否发放宣传单；</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③是否对政策宣讲与解读；</w:t>
            </w:r>
          </w:p>
          <w:p>
            <w:pPr>
              <w:widowControl/>
              <w:spacing w:line="0" w:lineRule="atLeast"/>
              <w:jc w:val="left"/>
              <w:rPr>
                <w:rFonts w:ascii="宋体" w:hAnsi="宋体" w:eastAsia="宋体" w:cs="宋体"/>
                <w:kern w:val="0"/>
                <w:sz w:val="18"/>
                <w:szCs w:val="18"/>
              </w:rPr>
            </w:pPr>
            <w:r>
              <w:rPr>
                <w:rFonts w:hint="eastAsia" w:ascii="宋体" w:hAnsi="宋体" w:eastAsia="宋体" w:cs="宋体"/>
                <w:kern w:val="0"/>
                <w:sz w:val="18"/>
                <w:szCs w:val="18"/>
              </w:rPr>
              <w:t>④是否对社会救助经办人员进行培训。</w:t>
            </w:r>
          </w:p>
          <w:p>
            <w:pPr>
              <w:widowControl/>
              <w:spacing w:line="0" w:lineRule="atLeast"/>
              <w:jc w:val="left"/>
              <w:rPr>
                <w:rFonts w:ascii="宋体" w:hAnsi="宋体" w:eastAsia="宋体" w:cs="宋体"/>
                <w:sz w:val="18"/>
                <w:szCs w:val="18"/>
                <w:highlight w:val="yellow"/>
              </w:rPr>
            </w:pPr>
            <w:r>
              <w:rPr>
                <w:rFonts w:hint="eastAsia" w:ascii="宋体" w:hAnsi="宋体" w:eastAsia="宋体" w:cs="宋体"/>
                <w:kern w:val="0"/>
                <w:sz w:val="18"/>
                <w:szCs w:val="18"/>
              </w:rPr>
              <w:t>一项不符合扣0.5分，严重的此项完全不得分。</w:t>
            </w:r>
          </w:p>
        </w:tc>
        <w:tc>
          <w:tcPr>
            <w:tcW w:w="809" w:type="dxa"/>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8" w:type="dxa"/>
            <w:vMerge w:val="continue"/>
          </w:tcPr>
          <w:p>
            <w:pPr>
              <w:rPr>
                <w:rFonts w:ascii="宋体" w:hAnsi="宋体" w:eastAsia="宋体" w:cs="宋体"/>
                <w:kern w:val="0"/>
                <w:sz w:val="18"/>
                <w:szCs w:val="18"/>
              </w:rPr>
            </w:pPr>
          </w:p>
        </w:tc>
        <w:tc>
          <w:tcPr>
            <w:tcW w:w="95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jc w:val="center"/>
              <w:rPr>
                <w:rFonts w:ascii="宋体" w:hAnsi="宋体" w:eastAsia="宋体" w:cs="宋体"/>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4分</w:t>
            </w:r>
            <w:r>
              <w:rPr>
                <w:rFonts w:hint="eastAsia" w:ascii="宋体" w:hAnsi="宋体" w:eastAsia="宋体" w:cs="宋体"/>
                <w:kern w:val="0"/>
                <w:sz w:val="18"/>
                <w:szCs w:val="18"/>
                <w:lang w:eastAsia="zh-CN"/>
              </w:rPr>
              <w:t>）</w:t>
            </w:r>
          </w:p>
        </w:tc>
        <w:tc>
          <w:tcPr>
            <w:tcW w:w="1339"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消杀工作</w:t>
            </w:r>
          </w:p>
          <w:p>
            <w:pPr>
              <w:widowControl/>
              <w:jc w:val="center"/>
              <w:rPr>
                <w:rFonts w:ascii="宋体" w:hAnsi="宋体" w:eastAsia="宋体" w:cs="宋体"/>
                <w:sz w:val="18"/>
                <w:szCs w:val="18"/>
              </w:rPr>
            </w:pPr>
            <w:r>
              <w:rPr>
                <w:rFonts w:hint="eastAsia" w:ascii="宋体" w:hAnsi="宋体" w:eastAsia="宋体" w:cs="宋体"/>
                <w:sz w:val="18"/>
                <w:szCs w:val="18"/>
              </w:rPr>
              <w:t>（4分）</w:t>
            </w:r>
          </w:p>
        </w:tc>
        <w:tc>
          <w:tcPr>
            <w:tcW w:w="2213" w:type="dxa"/>
            <w:vAlign w:val="center"/>
          </w:tcPr>
          <w:p>
            <w:pPr>
              <w:widowControl/>
              <w:spacing w:line="0" w:lineRule="atLeast"/>
              <w:jc w:val="left"/>
              <w:rPr>
                <w:rFonts w:ascii="宋体" w:hAnsi="宋体" w:eastAsia="宋体" w:cs="宋体"/>
                <w:kern w:val="0"/>
                <w:sz w:val="18"/>
                <w:szCs w:val="18"/>
              </w:rPr>
            </w:pPr>
            <w:r>
              <w:rPr>
                <w:rFonts w:hint="eastAsia" w:ascii="宋体" w:hAnsi="宋体" w:eastAsia="宋体" w:cs="宋体"/>
                <w:sz w:val="18"/>
                <w:szCs w:val="18"/>
              </w:rPr>
              <w:t>用于评价</w:t>
            </w:r>
            <w:r>
              <w:rPr>
                <w:rFonts w:hint="eastAsia" w:ascii="宋体" w:hAnsi="宋体" w:eastAsia="宋体" w:cs="宋体"/>
                <w:kern w:val="0"/>
                <w:sz w:val="18"/>
                <w:szCs w:val="18"/>
                <w:lang w:val="en-US" w:eastAsia="zh-CN"/>
              </w:rPr>
              <w:t>疫情防控期间</w:t>
            </w:r>
            <w:r>
              <w:rPr>
                <w:rFonts w:hint="eastAsia" w:ascii="宋体" w:hAnsi="宋体" w:eastAsia="宋体" w:cs="宋体"/>
                <w:sz w:val="18"/>
                <w:szCs w:val="18"/>
              </w:rPr>
              <w:t>消杀工作情况</w:t>
            </w:r>
          </w:p>
        </w:tc>
        <w:tc>
          <w:tcPr>
            <w:tcW w:w="2973" w:type="dxa"/>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评价要点：</w:t>
            </w:r>
          </w:p>
          <w:p>
            <w:pPr>
              <w:pStyle w:val="8"/>
              <w:rPr>
                <w:rFonts w:ascii="宋体" w:hAnsi="宋体" w:eastAsia="宋体" w:cs="宋体"/>
                <w:kern w:val="0"/>
                <w:sz w:val="18"/>
                <w:szCs w:val="18"/>
                <w:lang w:bidi="ar"/>
              </w:rPr>
            </w:pPr>
            <w:r>
              <w:rPr>
                <w:rFonts w:hint="eastAsia"/>
              </w:rPr>
              <w:t>①</w:t>
            </w:r>
            <w:r>
              <w:rPr>
                <w:rFonts w:hint="eastAsia" w:ascii="宋体" w:hAnsi="宋体" w:eastAsia="宋体" w:cs="宋体"/>
                <w:kern w:val="0"/>
                <w:sz w:val="18"/>
                <w:szCs w:val="18"/>
                <w:lang w:bidi="ar"/>
              </w:rPr>
              <w:t>效果显著提升</w:t>
            </w:r>
            <w:r>
              <w:rPr>
                <w:rFonts w:hint="eastAsia" w:ascii="宋体" w:hAnsi="宋体" w:eastAsia="宋体" w:cs="宋体"/>
                <w:kern w:val="0"/>
                <w:sz w:val="18"/>
                <w:szCs w:val="18"/>
                <w:lang w:eastAsia="zh-CN" w:bidi="ar"/>
              </w:rPr>
              <w:t>的</w:t>
            </w:r>
            <w:r>
              <w:rPr>
                <w:rFonts w:hint="eastAsia" w:ascii="宋体" w:hAnsi="宋体" w:eastAsia="宋体" w:cs="宋体"/>
                <w:kern w:val="0"/>
                <w:sz w:val="18"/>
                <w:szCs w:val="18"/>
                <w:lang w:bidi="ar"/>
              </w:rPr>
              <w:t>3分；</w:t>
            </w:r>
          </w:p>
          <w:p>
            <w:pPr>
              <w:pStyle w:val="8"/>
              <w:rPr>
                <w:rFonts w:ascii="宋体" w:hAnsi="宋体" w:eastAsia="宋体" w:cs="宋体"/>
                <w:kern w:val="0"/>
                <w:sz w:val="18"/>
                <w:szCs w:val="18"/>
                <w:lang w:bidi="ar"/>
              </w:rPr>
            </w:pPr>
            <w:r>
              <w:rPr>
                <w:rFonts w:hint="eastAsia" w:ascii="宋体" w:hAnsi="宋体" w:eastAsia="宋体" w:cs="宋体"/>
                <w:kern w:val="0"/>
                <w:sz w:val="18"/>
                <w:szCs w:val="18"/>
                <w:lang w:bidi="ar"/>
              </w:rPr>
              <w:t>②效果一般</w:t>
            </w:r>
            <w:r>
              <w:rPr>
                <w:rFonts w:hint="eastAsia" w:ascii="宋体" w:hAnsi="宋体" w:eastAsia="宋体" w:cs="宋体"/>
                <w:kern w:val="0"/>
                <w:sz w:val="18"/>
                <w:szCs w:val="18"/>
                <w:lang w:eastAsia="zh-CN" w:bidi="ar"/>
              </w:rPr>
              <w:t>的</w:t>
            </w:r>
            <w:r>
              <w:rPr>
                <w:rFonts w:hint="eastAsia" w:ascii="宋体" w:hAnsi="宋体" w:eastAsia="宋体" w:cs="宋体"/>
                <w:kern w:val="0"/>
                <w:sz w:val="18"/>
                <w:szCs w:val="18"/>
                <w:lang w:bidi="ar"/>
              </w:rPr>
              <w:t>2分；</w:t>
            </w:r>
          </w:p>
          <w:p>
            <w:pPr>
              <w:widowControl/>
              <w:spacing w:line="0" w:lineRule="atLeast"/>
              <w:jc w:val="left"/>
              <w:rPr>
                <w:rFonts w:ascii="宋体" w:hAnsi="宋体" w:eastAsia="宋体" w:cs="宋体"/>
                <w:kern w:val="0"/>
                <w:sz w:val="18"/>
                <w:szCs w:val="18"/>
              </w:rPr>
            </w:pPr>
            <w:r>
              <w:rPr>
                <w:rFonts w:hint="eastAsia" w:ascii="宋体" w:hAnsi="宋体" w:eastAsia="宋体" w:cs="宋体"/>
                <w:sz w:val="18"/>
                <w:szCs w:val="18"/>
              </w:rPr>
              <w:t>③</w:t>
            </w:r>
            <w:r>
              <w:rPr>
                <w:rFonts w:hint="eastAsia" w:ascii="宋体" w:hAnsi="宋体" w:eastAsia="宋体" w:cs="宋体"/>
                <w:kern w:val="0"/>
                <w:sz w:val="18"/>
                <w:szCs w:val="18"/>
                <w:lang w:bidi="ar"/>
              </w:rPr>
              <w:t>效益差不得分。</w:t>
            </w:r>
          </w:p>
        </w:tc>
        <w:tc>
          <w:tcPr>
            <w:tcW w:w="809" w:type="dxa"/>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08" w:type="dxa"/>
            <w:vMerge w:val="continue"/>
          </w:tcPr>
          <w:p>
            <w:pPr>
              <w:rPr>
                <w:rFonts w:ascii="宋体" w:hAnsi="宋体" w:eastAsia="宋体" w:cs="宋体"/>
                <w:kern w:val="0"/>
                <w:sz w:val="18"/>
                <w:szCs w:val="18"/>
              </w:rPr>
            </w:pPr>
          </w:p>
        </w:tc>
        <w:tc>
          <w:tcPr>
            <w:tcW w:w="953" w:type="dxa"/>
            <w:vMerge w:val="restart"/>
            <w:vAlign w:val="center"/>
          </w:tcPr>
          <w:p>
            <w:pPr>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可持续</w:t>
            </w:r>
          </w:p>
          <w:p>
            <w:pPr>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影响</w:t>
            </w:r>
          </w:p>
          <w:p>
            <w:pPr>
              <w:jc w:val="center"/>
              <w:rPr>
                <w:rFonts w:ascii="宋体" w:hAnsi="宋体" w:eastAsia="宋体" w:cs="宋体"/>
                <w:kern w:val="0"/>
                <w:sz w:val="18"/>
                <w:szCs w:val="18"/>
              </w:rPr>
            </w:pPr>
            <w:r>
              <w:rPr>
                <w:rFonts w:hint="eastAsia" w:ascii="宋体" w:hAnsi="宋体" w:eastAsia="宋体" w:cs="宋体"/>
                <w:kern w:val="0"/>
                <w:sz w:val="18"/>
                <w:szCs w:val="18"/>
                <w:lang w:bidi="ar"/>
              </w:rPr>
              <w:t>（8分）</w:t>
            </w:r>
          </w:p>
          <w:p>
            <w:pPr>
              <w:jc w:val="center"/>
              <w:rPr>
                <w:rFonts w:ascii="宋体" w:hAnsi="宋体" w:eastAsia="宋体" w:cs="宋体"/>
                <w:kern w:val="0"/>
                <w:sz w:val="18"/>
                <w:szCs w:val="18"/>
              </w:rPr>
            </w:pPr>
          </w:p>
        </w:tc>
        <w:tc>
          <w:tcPr>
            <w:tcW w:w="1339"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建立健全疫情防控救治体系</w:t>
            </w:r>
          </w:p>
          <w:p>
            <w:pPr>
              <w:widowControl/>
              <w:ind w:firstLine="180" w:firstLineChars="100"/>
              <w:jc w:val="center"/>
              <w:rPr>
                <w:rFonts w:ascii="宋体" w:hAnsi="宋体" w:eastAsia="宋体" w:cs="宋体"/>
                <w:sz w:val="18"/>
                <w:szCs w:val="18"/>
              </w:rPr>
            </w:pPr>
            <w:r>
              <w:rPr>
                <w:rFonts w:hint="eastAsia" w:ascii="宋体" w:hAnsi="宋体" w:eastAsia="宋体" w:cs="宋体"/>
                <w:sz w:val="18"/>
                <w:szCs w:val="18"/>
              </w:rPr>
              <w:t>（4分）</w:t>
            </w:r>
          </w:p>
        </w:tc>
        <w:tc>
          <w:tcPr>
            <w:tcW w:w="2213" w:type="dxa"/>
            <w:vAlign w:val="center"/>
          </w:tcPr>
          <w:p>
            <w:pPr>
              <w:widowControl/>
              <w:jc w:val="left"/>
              <w:rPr>
                <w:rFonts w:ascii="宋体" w:hAnsi="宋体" w:eastAsia="宋体" w:cs="宋体"/>
                <w:sz w:val="18"/>
                <w:szCs w:val="18"/>
              </w:rPr>
            </w:pPr>
            <w:r>
              <w:rPr>
                <w:rFonts w:hint="eastAsia" w:ascii="宋体" w:hAnsi="宋体" w:eastAsia="宋体" w:cs="宋体"/>
                <w:sz w:val="18"/>
                <w:szCs w:val="18"/>
              </w:rPr>
              <w:t>用于评价</w:t>
            </w:r>
            <w:r>
              <w:rPr>
                <w:rFonts w:hint="eastAsia" w:ascii="宋体" w:hAnsi="宋体" w:eastAsia="宋体" w:cs="宋体"/>
                <w:sz w:val="18"/>
                <w:szCs w:val="18"/>
                <w:lang w:val="en-US" w:eastAsia="zh-CN"/>
              </w:rPr>
              <w:t>是否</w:t>
            </w:r>
            <w:r>
              <w:rPr>
                <w:rFonts w:hint="eastAsia" w:ascii="宋体" w:hAnsi="宋体" w:eastAsia="宋体" w:cs="宋体"/>
                <w:sz w:val="18"/>
                <w:szCs w:val="18"/>
              </w:rPr>
              <w:t>建立健全疫情防控救治体系情况</w:t>
            </w:r>
          </w:p>
          <w:p>
            <w:pPr>
              <w:widowControl/>
              <w:spacing w:line="0" w:lineRule="atLeast"/>
              <w:jc w:val="left"/>
              <w:rPr>
                <w:rFonts w:ascii="宋体" w:hAnsi="宋体" w:eastAsia="宋体" w:cs="宋体"/>
                <w:sz w:val="18"/>
                <w:szCs w:val="18"/>
              </w:rPr>
            </w:pPr>
          </w:p>
        </w:tc>
        <w:tc>
          <w:tcPr>
            <w:tcW w:w="2973" w:type="dxa"/>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评价要点：</w:t>
            </w:r>
          </w:p>
          <w:p>
            <w:pPr>
              <w:pStyle w:val="8"/>
              <w:rPr>
                <w:rFonts w:ascii="宋体" w:hAnsi="宋体" w:eastAsia="宋体" w:cs="宋体"/>
                <w:kern w:val="0"/>
                <w:sz w:val="18"/>
                <w:szCs w:val="18"/>
                <w:lang w:bidi="ar"/>
              </w:rPr>
            </w:pPr>
            <w:r>
              <w:rPr>
                <w:rFonts w:hint="eastAsia"/>
              </w:rPr>
              <w:t>①</w:t>
            </w:r>
            <w:r>
              <w:rPr>
                <w:rFonts w:hint="eastAsia" w:ascii="宋体" w:hAnsi="宋体" w:eastAsia="宋体" w:cs="宋体"/>
                <w:kern w:val="0"/>
                <w:sz w:val="18"/>
                <w:szCs w:val="18"/>
                <w:lang w:bidi="ar"/>
              </w:rPr>
              <w:t>效果显著提升</w:t>
            </w:r>
            <w:r>
              <w:rPr>
                <w:rFonts w:hint="eastAsia" w:ascii="宋体" w:hAnsi="宋体" w:eastAsia="宋体" w:cs="宋体"/>
                <w:kern w:val="0"/>
                <w:sz w:val="18"/>
                <w:szCs w:val="18"/>
                <w:lang w:eastAsia="zh-CN" w:bidi="ar"/>
              </w:rPr>
              <w:t>的</w:t>
            </w:r>
            <w:r>
              <w:rPr>
                <w:rFonts w:hint="eastAsia" w:ascii="宋体" w:hAnsi="宋体" w:eastAsia="宋体" w:cs="宋体"/>
                <w:kern w:val="0"/>
                <w:sz w:val="18"/>
                <w:szCs w:val="18"/>
                <w:lang w:bidi="ar"/>
              </w:rPr>
              <w:t>3分；</w:t>
            </w:r>
          </w:p>
          <w:p>
            <w:pPr>
              <w:pStyle w:val="8"/>
              <w:rPr>
                <w:rFonts w:ascii="宋体" w:hAnsi="宋体" w:eastAsia="宋体" w:cs="宋体"/>
                <w:kern w:val="0"/>
                <w:sz w:val="18"/>
                <w:szCs w:val="18"/>
                <w:lang w:bidi="ar"/>
              </w:rPr>
            </w:pPr>
            <w:r>
              <w:rPr>
                <w:rFonts w:hint="eastAsia" w:ascii="宋体" w:hAnsi="宋体" w:eastAsia="宋体" w:cs="宋体"/>
                <w:kern w:val="0"/>
                <w:sz w:val="18"/>
                <w:szCs w:val="18"/>
                <w:lang w:bidi="ar"/>
              </w:rPr>
              <w:t>②效果一般</w:t>
            </w:r>
            <w:r>
              <w:rPr>
                <w:rFonts w:hint="eastAsia" w:ascii="宋体" w:hAnsi="宋体" w:eastAsia="宋体" w:cs="宋体"/>
                <w:kern w:val="0"/>
                <w:sz w:val="18"/>
                <w:szCs w:val="18"/>
                <w:lang w:eastAsia="zh-CN" w:bidi="ar"/>
              </w:rPr>
              <w:t>的</w:t>
            </w:r>
            <w:r>
              <w:rPr>
                <w:rFonts w:hint="eastAsia" w:ascii="宋体" w:hAnsi="宋体" w:eastAsia="宋体" w:cs="宋体"/>
                <w:kern w:val="0"/>
                <w:sz w:val="18"/>
                <w:szCs w:val="18"/>
                <w:lang w:bidi="ar"/>
              </w:rPr>
              <w:t>2分；</w:t>
            </w:r>
          </w:p>
          <w:p>
            <w:pPr>
              <w:widowControl/>
              <w:spacing w:line="0" w:lineRule="atLeast"/>
              <w:jc w:val="left"/>
              <w:rPr>
                <w:rFonts w:ascii="宋体" w:hAnsi="宋体" w:eastAsia="宋体" w:cs="宋体"/>
                <w:sz w:val="18"/>
                <w:szCs w:val="18"/>
              </w:rPr>
            </w:pPr>
            <w:r>
              <w:rPr>
                <w:rFonts w:hint="eastAsia" w:ascii="宋体" w:hAnsi="宋体" w:eastAsia="宋体" w:cs="宋体"/>
                <w:sz w:val="18"/>
                <w:szCs w:val="18"/>
              </w:rPr>
              <w:t>③</w:t>
            </w:r>
            <w:r>
              <w:rPr>
                <w:rFonts w:hint="eastAsia" w:ascii="宋体" w:hAnsi="宋体" w:eastAsia="宋体" w:cs="宋体"/>
                <w:kern w:val="0"/>
                <w:sz w:val="18"/>
                <w:szCs w:val="18"/>
                <w:lang w:bidi="ar"/>
              </w:rPr>
              <w:t>效益差不得分。</w:t>
            </w:r>
          </w:p>
        </w:tc>
        <w:tc>
          <w:tcPr>
            <w:tcW w:w="809" w:type="dxa"/>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8" w:type="dxa"/>
            <w:vMerge w:val="continue"/>
          </w:tcPr>
          <w:p>
            <w:pPr>
              <w:rPr>
                <w:rFonts w:ascii="宋体" w:hAnsi="宋体" w:eastAsia="宋体" w:cs="宋体"/>
                <w:kern w:val="0"/>
                <w:sz w:val="18"/>
                <w:szCs w:val="18"/>
              </w:rPr>
            </w:pPr>
          </w:p>
        </w:tc>
        <w:tc>
          <w:tcPr>
            <w:tcW w:w="953" w:type="dxa"/>
            <w:vMerge w:val="continue"/>
            <w:vAlign w:val="center"/>
          </w:tcPr>
          <w:p>
            <w:pPr>
              <w:jc w:val="center"/>
              <w:rPr>
                <w:rFonts w:ascii="宋体" w:hAnsi="宋体" w:eastAsia="宋体" w:cs="宋体"/>
                <w:kern w:val="0"/>
                <w:sz w:val="18"/>
                <w:szCs w:val="18"/>
              </w:rPr>
            </w:pPr>
          </w:p>
        </w:tc>
        <w:tc>
          <w:tcPr>
            <w:tcW w:w="1339" w:type="dxa"/>
            <w:vAlign w:val="center"/>
          </w:tcPr>
          <w:p>
            <w:pPr>
              <w:widowControl/>
              <w:jc w:val="center"/>
              <w:rPr>
                <w:rFonts w:ascii="宋体" w:hAnsi="宋体" w:eastAsia="宋体" w:cs="宋体"/>
                <w:sz w:val="18"/>
                <w:szCs w:val="18"/>
              </w:rPr>
            </w:pPr>
            <w:r>
              <w:rPr>
                <w:rFonts w:hint="eastAsia" w:ascii="宋体" w:hAnsi="宋体" w:eastAsia="宋体" w:cs="宋体"/>
                <w:sz w:val="18"/>
                <w:szCs w:val="18"/>
              </w:rPr>
              <w:t>密切接触者</w:t>
            </w:r>
          </w:p>
          <w:p>
            <w:pPr>
              <w:widowControl/>
              <w:jc w:val="center"/>
              <w:rPr>
                <w:rFonts w:ascii="宋体" w:hAnsi="宋体" w:eastAsia="宋体" w:cs="宋体"/>
                <w:sz w:val="18"/>
                <w:szCs w:val="18"/>
              </w:rPr>
            </w:pPr>
            <w:r>
              <w:rPr>
                <w:rFonts w:hint="eastAsia" w:ascii="宋体" w:hAnsi="宋体" w:eastAsia="宋体" w:cs="宋体"/>
                <w:sz w:val="18"/>
                <w:szCs w:val="18"/>
              </w:rPr>
              <w:t>清零率</w:t>
            </w:r>
          </w:p>
          <w:p>
            <w:pPr>
              <w:widowControl/>
              <w:jc w:val="center"/>
              <w:rPr>
                <w:rFonts w:ascii="宋体" w:hAnsi="宋体" w:eastAsia="宋体" w:cs="宋体"/>
                <w:sz w:val="18"/>
                <w:szCs w:val="18"/>
              </w:rPr>
            </w:pPr>
            <w:r>
              <w:rPr>
                <w:rFonts w:hint="eastAsia" w:ascii="宋体" w:hAnsi="宋体" w:eastAsia="宋体" w:cs="宋体"/>
                <w:sz w:val="18"/>
                <w:szCs w:val="18"/>
              </w:rPr>
              <w:t>（4分）</w:t>
            </w:r>
          </w:p>
        </w:tc>
        <w:tc>
          <w:tcPr>
            <w:tcW w:w="2213" w:type="dxa"/>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rPr>
              <w:t>用于评价密切接触者清零</w:t>
            </w:r>
            <w:r>
              <w:rPr>
                <w:rFonts w:hint="eastAsia" w:ascii="宋体" w:hAnsi="宋体" w:eastAsia="宋体" w:cs="宋体"/>
                <w:sz w:val="18"/>
                <w:szCs w:val="18"/>
                <w:lang w:val="en-US" w:eastAsia="zh-CN"/>
              </w:rPr>
              <w:t>情况</w:t>
            </w:r>
          </w:p>
          <w:p>
            <w:pPr>
              <w:widowControl/>
              <w:jc w:val="left"/>
              <w:rPr>
                <w:rFonts w:ascii="宋体" w:hAnsi="宋体" w:eastAsia="宋体" w:cs="宋体"/>
                <w:sz w:val="18"/>
                <w:szCs w:val="18"/>
              </w:rPr>
            </w:pPr>
          </w:p>
        </w:tc>
        <w:tc>
          <w:tcPr>
            <w:tcW w:w="2973" w:type="dxa"/>
            <w:vAlign w:val="center"/>
          </w:tcPr>
          <w:p>
            <w:pPr>
              <w:widowControl/>
              <w:jc w:val="left"/>
              <w:rPr>
                <w:rFonts w:ascii="宋体" w:hAnsi="宋体" w:eastAsia="宋体" w:cs="宋体"/>
                <w:sz w:val="18"/>
                <w:szCs w:val="18"/>
              </w:rPr>
            </w:pPr>
            <w:r>
              <w:rPr>
                <w:rFonts w:hint="eastAsia" w:ascii="宋体" w:hAnsi="宋体" w:eastAsia="宋体" w:cs="宋体"/>
                <w:sz w:val="18"/>
                <w:szCs w:val="18"/>
              </w:rPr>
              <w:t>密切接触者清零率为0</w:t>
            </w:r>
            <w:r>
              <w:rPr>
                <w:rFonts w:hint="eastAsia" w:ascii="宋体" w:hAnsi="宋体" w:eastAsia="宋体" w:cs="宋体"/>
                <w:sz w:val="18"/>
                <w:szCs w:val="18"/>
                <w:lang w:eastAsia="zh-CN"/>
              </w:rPr>
              <w:t>的</w:t>
            </w:r>
            <w:r>
              <w:rPr>
                <w:rFonts w:hint="eastAsia" w:ascii="宋体" w:hAnsi="宋体" w:eastAsia="宋体" w:cs="宋体"/>
                <w:sz w:val="18"/>
                <w:szCs w:val="18"/>
              </w:rPr>
              <w:t>满分，</w:t>
            </w:r>
            <w:r>
              <w:rPr>
                <w:rFonts w:hint="eastAsia" w:ascii="宋体" w:hAnsi="宋体" w:eastAsia="宋体" w:cs="宋体"/>
                <w:kern w:val="0"/>
                <w:sz w:val="18"/>
                <w:szCs w:val="18"/>
              </w:rPr>
              <w:t>每大于1%，一项扣1分。</w:t>
            </w:r>
          </w:p>
        </w:tc>
        <w:tc>
          <w:tcPr>
            <w:tcW w:w="809" w:type="dxa"/>
            <w:vAlign w:val="center"/>
          </w:tcPr>
          <w:p>
            <w:pPr>
              <w:widowControl/>
              <w:spacing w:line="0" w:lineRule="atLeast"/>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8" w:type="dxa"/>
          </w:tcPr>
          <w:p>
            <w:pPr>
              <w:rPr>
                <w:rFonts w:ascii="宋体" w:hAnsi="宋体" w:eastAsia="宋体" w:cs="宋体"/>
                <w:kern w:val="0"/>
                <w:sz w:val="18"/>
                <w:szCs w:val="18"/>
              </w:rPr>
            </w:pPr>
          </w:p>
        </w:tc>
        <w:tc>
          <w:tcPr>
            <w:tcW w:w="953" w:type="dxa"/>
            <w:vAlign w:val="center"/>
          </w:tcPr>
          <w:p>
            <w:pPr>
              <w:widowControl/>
              <w:jc w:val="both"/>
              <w:rPr>
                <w:rFonts w:ascii="宋体" w:hAnsi="宋体" w:eastAsia="宋体" w:cs="宋体"/>
                <w:sz w:val="18"/>
                <w:szCs w:val="18"/>
              </w:rPr>
            </w:pPr>
            <w:r>
              <w:rPr>
                <w:rFonts w:hint="eastAsia" w:ascii="宋体" w:hAnsi="宋体" w:eastAsia="宋体" w:cs="宋体"/>
                <w:sz w:val="18"/>
                <w:szCs w:val="18"/>
              </w:rPr>
              <w:t>满意度</w:t>
            </w:r>
          </w:p>
          <w:p>
            <w:pPr>
              <w:widowControl/>
              <w:jc w:val="center"/>
              <w:rPr>
                <w:rFonts w:ascii="宋体" w:hAnsi="宋体" w:eastAsia="宋体" w:cs="宋体"/>
                <w:sz w:val="18"/>
                <w:szCs w:val="18"/>
              </w:rPr>
            </w:pPr>
            <w:r>
              <w:rPr>
                <w:rFonts w:hint="eastAsia" w:ascii="宋体" w:hAnsi="宋体" w:eastAsia="宋体" w:cs="宋体"/>
                <w:sz w:val="18"/>
                <w:szCs w:val="18"/>
              </w:rPr>
              <w:t>6分</w:t>
            </w:r>
          </w:p>
          <w:p>
            <w:pPr>
              <w:jc w:val="center"/>
              <w:rPr>
                <w:rFonts w:ascii="宋体" w:hAnsi="宋体" w:eastAsia="宋体" w:cs="宋体"/>
                <w:kern w:val="0"/>
                <w:sz w:val="18"/>
                <w:szCs w:val="18"/>
              </w:rPr>
            </w:pPr>
          </w:p>
        </w:tc>
        <w:tc>
          <w:tcPr>
            <w:tcW w:w="1339" w:type="dxa"/>
            <w:vAlign w:val="center"/>
          </w:tcPr>
          <w:p>
            <w:pPr>
              <w:widowControl/>
              <w:jc w:val="center"/>
              <w:rPr>
                <w:rFonts w:ascii="宋体" w:hAnsi="宋体" w:eastAsia="宋体" w:cs="宋体"/>
                <w:sz w:val="18"/>
                <w:szCs w:val="18"/>
              </w:rPr>
            </w:pPr>
          </w:p>
          <w:p>
            <w:pPr>
              <w:widowControl/>
              <w:jc w:val="center"/>
              <w:rPr>
                <w:rFonts w:ascii="宋体" w:hAnsi="宋体" w:eastAsia="宋体" w:cs="宋体"/>
                <w:sz w:val="18"/>
                <w:szCs w:val="18"/>
              </w:rPr>
            </w:pPr>
            <w:r>
              <w:rPr>
                <w:rFonts w:hint="eastAsia" w:ascii="宋体" w:hAnsi="宋体" w:eastAsia="宋体" w:cs="宋体"/>
                <w:sz w:val="18"/>
                <w:szCs w:val="18"/>
              </w:rPr>
              <w:t>群众满意度</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（6分</w:t>
            </w:r>
            <w:r>
              <w:rPr>
                <w:rFonts w:hint="eastAsia" w:ascii="宋体" w:hAnsi="宋体" w:eastAsia="宋体" w:cs="宋体"/>
                <w:sz w:val="18"/>
                <w:szCs w:val="18"/>
                <w:lang w:eastAsia="zh-CN"/>
              </w:rPr>
              <w:t>）</w:t>
            </w:r>
          </w:p>
          <w:p>
            <w:pPr>
              <w:widowControl/>
              <w:jc w:val="center"/>
              <w:rPr>
                <w:rFonts w:ascii="宋体" w:hAnsi="宋体" w:eastAsia="宋体" w:cs="宋体"/>
                <w:sz w:val="18"/>
                <w:szCs w:val="18"/>
              </w:rPr>
            </w:pPr>
          </w:p>
        </w:tc>
        <w:tc>
          <w:tcPr>
            <w:tcW w:w="2213" w:type="dxa"/>
            <w:vAlign w:val="center"/>
          </w:tcPr>
          <w:p>
            <w:pPr>
              <w:widowControl/>
              <w:jc w:val="left"/>
              <w:rPr>
                <w:rFonts w:ascii="宋体" w:hAnsi="宋体" w:eastAsia="宋体" w:cs="宋体"/>
                <w:sz w:val="18"/>
                <w:szCs w:val="18"/>
              </w:rPr>
            </w:pPr>
            <w:r>
              <w:rPr>
                <w:rFonts w:hint="eastAsia" w:ascii="宋体" w:hAnsi="宋体" w:eastAsia="宋体" w:cs="宋体"/>
                <w:sz w:val="18"/>
                <w:szCs w:val="18"/>
              </w:rPr>
              <w:t>采取社会调查的方式对社会公众服务对象对履职效果的满意程度。</w:t>
            </w:r>
          </w:p>
          <w:p>
            <w:pPr>
              <w:widowControl/>
              <w:jc w:val="left"/>
              <w:rPr>
                <w:rFonts w:ascii="宋体" w:hAnsi="宋体" w:eastAsia="宋体" w:cs="宋体"/>
                <w:sz w:val="18"/>
                <w:szCs w:val="18"/>
              </w:rPr>
            </w:pPr>
          </w:p>
        </w:tc>
        <w:tc>
          <w:tcPr>
            <w:tcW w:w="2973" w:type="dxa"/>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lang w:eastAsia="zh-CN"/>
              </w:rPr>
              <w:t>满</w:t>
            </w:r>
            <w:bookmarkStart w:id="154" w:name="_GoBack"/>
            <w:bookmarkEnd w:id="154"/>
            <w:r>
              <w:rPr>
                <w:rFonts w:hint="eastAsia" w:ascii="宋体" w:hAnsi="宋体" w:eastAsia="宋体" w:cs="宋体"/>
                <w:sz w:val="18"/>
                <w:szCs w:val="18"/>
              </w:rPr>
              <w:t>意度达95%得满分，减少5个百分点扣1分，直至扣完该项得分。</w:t>
            </w:r>
          </w:p>
        </w:tc>
        <w:tc>
          <w:tcPr>
            <w:tcW w:w="809"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386" w:type="dxa"/>
            <w:gridSpan w:val="5"/>
          </w:tcPr>
          <w:p>
            <w:pPr>
              <w:widowControl/>
              <w:jc w:val="center"/>
              <w:rPr>
                <w:rFonts w:hint="eastAsia" w:ascii="宋体" w:hAnsi="宋体" w:eastAsia="宋体" w:cs="宋体"/>
                <w:b/>
                <w:bCs/>
                <w:sz w:val="21"/>
                <w:szCs w:val="21"/>
                <w:lang w:val="en-US" w:eastAsia="zh-CN"/>
              </w:rPr>
            </w:pPr>
          </w:p>
          <w:p>
            <w:pPr>
              <w:widowControl/>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分 值</w:t>
            </w:r>
          </w:p>
        </w:tc>
        <w:tc>
          <w:tcPr>
            <w:tcW w:w="809" w:type="dxa"/>
            <w:vAlign w:val="center"/>
          </w:tcPr>
          <w:p>
            <w:pPr>
              <w:widowControl/>
              <w:spacing w:line="0" w:lineRule="atLeast"/>
              <w:jc w:val="center"/>
              <w:rPr>
                <w:rFonts w:hint="eastAsia" w:ascii="宋体" w:hAnsi="宋体" w:eastAsia="宋体" w:cs="宋体"/>
                <w:b/>
                <w:bCs/>
                <w:kern w:val="0"/>
                <w:sz w:val="21"/>
                <w:szCs w:val="21"/>
                <w:lang w:val="en-US" w:eastAsia="zh-CN"/>
              </w:rPr>
            </w:pPr>
          </w:p>
          <w:p>
            <w:pPr>
              <w:widowControl/>
              <w:spacing w:line="0" w:lineRule="atLeast"/>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100</w:t>
            </w:r>
          </w:p>
        </w:tc>
      </w:tr>
    </w:tbl>
    <w:p>
      <w:pPr>
        <w:pStyle w:val="10"/>
        <w:spacing w:before="312" w:beforeLines="100" w:after="156" w:afterLines="50" w:line="360" w:lineRule="auto"/>
        <w:jc w:val="left"/>
        <w:outlineLvl w:val="0"/>
        <w:rPr>
          <w:rFonts w:ascii="Times New Roman" w:eastAsia="宋体"/>
          <w:b/>
          <w:sz w:val="32"/>
        </w:rPr>
      </w:pPr>
      <w:bookmarkStart w:id="70" w:name="_Toc27662"/>
      <w:r>
        <w:rPr>
          <w:rFonts w:hint="eastAsia" w:ascii="Times New Roman" w:eastAsia="宋体"/>
          <w:b/>
          <w:sz w:val="32"/>
        </w:rPr>
        <w:t>四、绩效评价分析</w:t>
      </w:r>
      <w:bookmarkEnd w:id="70"/>
    </w:p>
    <w:p>
      <w:pPr>
        <w:numPr>
          <w:ilvl w:val="0"/>
          <w:numId w:val="4"/>
        </w:numPr>
        <w:spacing w:before="156" w:beforeLines="50" w:line="360" w:lineRule="auto"/>
        <w:jc w:val="left"/>
        <w:outlineLvl w:val="1"/>
        <w:rPr>
          <w:rFonts w:ascii="Times New Roman" w:eastAsia="宋体"/>
          <w:b/>
          <w:sz w:val="30"/>
        </w:rPr>
      </w:pPr>
      <w:bookmarkStart w:id="71" w:name="_Toc8791"/>
      <w:r>
        <w:rPr>
          <w:rFonts w:hint="eastAsia" w:ascii="Times New Roman" w:eastAsia="宋体"/>
          <w:b/>
          <w:bCs/>
          <w:sz w:val="30"/>
        </w:rPr>
        <w:t>投入指标（分值为15分，得分14分）</w:t>
      </w:r>
      <w:bookmarkEnd w:id="71"/>
    </w:p>
    <w:p>
      <w:pPr>
        <w:spacing w:line="360" w:lineRule="auto"/>
        <w:jc w:val="left"/>
        <w:outlineLvl w:val="2"/>
        <w:rPr>
          <w:rFonts w:ascii="Times New Roman" w:eastAsia="宋体"/>
          <w:b/>
          <w:bCs/>
          <w:sz w:val="28"/>
        </w:rPr>
      </w:pPr>
      <w:bookmarkStart w:id="72" w:name="_Toc23165"/>
      <w:r>
        <w:rPr>
          <w:rFonts w:hint="eastAsia" w:ascii="Times New Roman" w:eastAsia="宋体"/>
          <w:b/>
          <w:bCs/>
          <w:sz w:val="28"/>
        </w:rPr>
        <w:t>1.项目立项（分值4分）</w:t>
      </w:r>
      <w:bookmarkEnd w:id="72"/>
    </w:p>
    <w:p>
      <w:pPr>
        <w:spacing w:line="360" w:lineRule="auto"/>
        <w:ind w:firstLine="560" w:firstLineChars="200"/>
        <w:jc w:val="left"/>
        <w:rPr>
          <w:rFonts w:ascii="Times New Roman" w:eastAsia="宋体"/>
          <w:sz w:val="28"/>
        </w:rPr>
      </w:pPr>
      <w:r>
        <w:rPr>
          <w:rFonts w:hint="eastAsia" w:ascii="Times New Roman" w:eastAsia="宋体"/>
          <w:sz w:val="28"/>
        </w:rPr>
        <w:t>（1）立项依据充分性（分值2分）</w:t>
      </w:r>
    </w:p>
    <w:p>
      <w:pPr>
        <w:spacing w:line="360" w:lineRule="auto"/>
        <w:ind w:firstLine="560" w:firstLineChars="200"/>
        <w:jc w:val="left"/>
        <w:rPr>
          <w:rFonts w:ascii="Times New Roman" w:eastAsia="宋体"/>
          <w:sz w:val="28"/>
        </w:rPr>
      </w:pPr>
      <w:r>
        <w:rPr>
          <w:rFonts w:hint="eastAsia" w:ascii="Times New Roman" w:eastAsia="宋体"/>
          <w:sz w:val="28"/>
          <w:lang w:eastAsia="zh-CN"/>
        </w:rPr>
        <w:t>“</w:t>
      </w:r>
      <w:r>
        <w:rPr>
          <w:rFonts w:hint="eastAsia" w:ascii="Times New Roman" w:eastAsia="宋体"/>
          <w:sz w:val="28"/>
        </w:rPr>
        <w:t>立项依据充分性”指标用于评价项目立项依据是否充分，立项是否符合国家法律法规、国民经济发展规划和相关政策；项目立项是否符合行业发展规划和政策要求；项目立项是否与部门职责范围相符，属于部门履职所需；项目是否属于公共财政支持范围，是否符合中央、地方事权支出责任划分原则。</w:t>
      </w:r>
    </w:p>
    <w:p>
      <w:pPr>
        <w:spacing w:line="360" w:lineRule="auto"/>
        <w:ind w:firstLine="560" w:firstLineChars="200"/>
        <w:jc w:val="left"/>
        <w:rPr>
          <w:rFonts w:ascii="Times New Roman" w:eastAsia="宋体"/>
          <w:sz w:val="28"/>
        </w:rPr>
      </w:pPr>
      <w:r>
        <w:rPr>
          <w:rFonts w:hint="eastAsia" w:ascii="Times New Roman" w:eastAsia="宋体"/>
          <w:sz w:val="28"/>
        </w:rPr>
        <w:t>2022年度疫情防控专项资金立项根据《福建省财政厅转发财政部关于进一步做好新型冠状病毒感染肺炎疫情防控经费保障工作的通知》</w:t>
      </w:r>
      <w:r>
        <w:rPr>
          <w:rFonts w:hint="eastAsia" w:ascii="Times New Roman" w:eastAsia="宋体"/>
          <w:sz w:val="28"/>
          <w:lang w:eastAsia="zh-CN"/>
        </w:rPr>
        <w:t>（</w:t>
      </w:r>
      <w:r>
        <w:rPr>
          <w:rFonts w:hint="eastAsia" w:ascii="Times New Roman" w:eastAsia="宋体"/>
          <w:sz w:val="28"/>
        </w:rPr>
        <w:t>闽财办〔2020〕3号）、《福建省财政厅 福建省卫生健康委员会关于印发〈福建省新型冠状病毒感染的肺炎疫情防治工作专项补助资金管理办法〉的通知》（闽财社〔2020〕6号）和《泉州市财政局 泉州市卫生健康委员会关于印发〈新型冠状病毒感染肺炎疫情防控资金管理暂行规定〉的通知》（泉财社〔2020〕23号）文件精神，立项与德化县职责范围相符，属于部门履职所需。符合国家法律法规、国民经济发展规划和相关政策且项目立项，根据评分标准，此项得2分。</w:t>
      </w:r>
    </w:p>
    <w:p>
      <w:pPr>
        <w:spacing w:line="360" w:lineRule="auto"/>
        <w:ind w:firstLine="560" w:firstLineChars="200"/>
        <w:jc w:val="left"/>
        <w:rPr>
          <w:rFonts w:ascii="Times New Roman" w:eastAsia="宋体"/>
          <w:sz w:val="28"/>
        </w:rPr>
      </w:pPr>
      <w:r>
        <w:rPr>
          <w:rFonts w:hint="eastAsia" w:ascii="Times New Roman" w:eastAsia="宋体"/>
          <w:sz w:val="28"/>
        </w:rPr>
        <w:t>（2）立项程序规范性（分值2分）</w:t>
      </w:r>
    </w:p>
    <w:p>
      <w:pPr>
        <w:spacing w:line="360" w:lineRule="auto"/>
        <w:ind w:firstLine="560" w:firstLineChars="200"/>
        <w:jc w:val="left"/>
        <w:rPr>
          <w:rFonts w:ascii="Times New Roman" w:eastAsia="宋体"/>
          <w:sz w:val="28"/>
        </w:rPr>
      </w:pPr>
      <w:r>
        <w:rPr>
          <w:rFonts w:hint="eastAsia" w:ascii="Times New Roman" w:eastAsia="宋体"/>
          <w:sz w:val="28"/>
        </w:rPr>
        <w:t>“立项程序规范性”指标用于评价项目立项程序是否规范。评价项目是否按照规定的程序申请设立，审批文件、材料是否符合相关要求；事前是否已经过必要的可行性研究、专家论证、风险评估、绩效评估、集体决策。</w:t>
      </w:r>
    </w:p>
    <w:p>
      <w:pPr>
        <w:spacing w:line="360" w:lineRule="auto"/>
        <w:ind w:firstLine="560" w:firstLineChars="200"/>
        <w:jc w:val="left"/>
        <w:rPr>
          <w:rFonts w:ascii="Times New Roman" w:eastAsia="宋体"/>
          <w:sz w:val="28"/>
        </w:rPr>
      </w:pPr>
      <w:r>
        <w:rPr>
          <w:rFonts w:hint="eastAsia" w:ascii="Times New Roman" w:eastAsia="宋体"/>
          <w:sz w:val="28"/>
        </w:rPr>
        <w:t>经评价小组调研，德化县卫健局所提交的《2022年度关于疫情防控资金绩效目标表》事前已经过必要的可行性研究和风险评估、集体决策等。根据评分标准，此项得2分。</w:t>
      </w:r>
    </w:p>
    <w:p>
      <w:pPr>
        <w:spacing w:line="360" w:lineRule="auto"/>
        <w:jc w:val="left"/>
        <w:outlineLvl w:val="2"/>
        <w:rPr>
          <w:rFonts w:ascii="Times New Roman" w:eastAsia="宋体"/>
          <w:b/>
          <w:bCs/>
          <w:sz w:val="28"/>
        </w:rPr>
      </w:pPr>
      <w:bookmarkStart w:id="73" w:name="_Toc13118"/>
      <w:r>
        <w:rPr>
          <w:rFonts w:hint="eastAsia" w:ascii="Times New Roman" w:eastAsia="宋体"/>
          <w:b/>
          <w:bCs/>
          <w:sz w:val="28"/>
        </w:rPr>
        <w:t>2. 绩效目标（分值6分）</w:t>
      </w:r>
      <w:bookmarkEnd w:id="73"/>
    </w:p>
    <w:p>
      <w:pPr>
        <w:spacing w:line="360" w:lineRule="auto"/>
        <w:ind w:firstLine="560" w:firstLineChars="200"/>
        <w:jc w:val="left"/>
        <w:rPr>
          <w:rFonts w:ascii="Times New Roman" w:eastAsia="宋体"/>
          <w:sz w:val="28"/>
        </w:rPr>
      </w:pPr>
      <w:r>
        <w:rPr>
          <w:rFonts w:hint="eastAsia" w:ascii="Times New Roman" w:eastAsia="宋体"/>
          <w:sz w:val="28"/>
        </w:rPr>
        <w:t>（1）绩效目标合理性（分值3分）</w:t>
      </w:r>
    </w:p>
    <w:p>
      <w:pPr>
        <w:spacing w:line="360" w:lineRule="auto"/>
        <w:ind w:firstLine="560" w:firstLineChars="200"/>
        <w:jc w:val="left"/>
        <w:rPr>
          <w:rFonts w:hint="eastAsia" w:ascii="Times New Roman" w:eastAsia="宋体"/>
          <w:sz w:val="28"/>
          <w:lang w:eastAsia="zh-CN"/>
        </w:rPr>
      </w:pPr>
      <w:r>
        <w:rPr>
          <w:rFonts w:hint="eastAsia" w:ascii="Times New Roman" w:eastAsia="宋体"/>
          <w:sz w:val="28"/>
        </w:rPr>
        <w:t>“绩效目标合理性”指标用于评价项目绩效目标的设置情况。主要评价所设定的绩效目标是否依据充分，是否符合客观实际，用以反映和考核项目绩效目标与项目实施的相符情况</w:t>
      </w:r>
      <w:r>
        <w:rPr>
          <w:rFonts w:hint="eastAsia" w:ascii="Times New Roman" w:eastAsia="宋体"/>
          <w:sz w:val="28"/>
          <w:lang w:eastAsia="zh-CN"/>
        </w:rPr>
        <w:t>。</w:t>
      </w:r>
    </w:p>
    <w:p>
      <w:pPr>
        <w:spacing w:line="360" w:lineRule="auto"/>
        <w:ind w:firstLine="560" w:firstLineChars="200"/>
        <w:jc w:val="left"/>
        <w:rPr>
          <w:rFonts w:ascii="Times New Roman" w:eastAsia="宋体"/>
          <w:sz w:val="28"/>
          <w:highlight w:val="yellow"/>
        </w:rPr>
      </w:pPr>
      <w:r>
        <w:rPr>
          <w:rFonts w:hint="eastAsia" w:ascii="Times New Roman" w:eastAsia="宋体"/>
          <w:sz w:val="28"/>
          <w:lang w:val="en-US" w:eastAsia="zh-CN"/>
        </w:rPr>
        <w:t>2022年度德化县卫健局绩效评价目标根据财政部《关于印发〈项目支出绩效评价管理办法〉的通知》（财预〔2020〕10号）和《福建省财政厅关于印发财政支出绩效评价指标体系及使用指南的通知》（闽财绩〔2012〕13 号）设立，绩效目标基本</w:t>
      </w:r>
      <w:r>
        <w:rPr>
          <w:rFonts w:hint="eastAsia" w:ascii="Times New Roman" w:eastAsia="宋体"/>
          <w:sz w:val="28"/>
        </w:rPr>
        <w:t>符合客观实际，根据评分标准，此</w:t>
      </w:r>
      <w:r>
        <w:rPr>
          <w:rFonts w:hint="eastAsia" w:ascii="Times New Roman" w:eastAsia="宋体"/>
          <w:sz w:val="28"/>
          <w:lang w:val="en-US" w:eastAsia="zh-CN"/>
        </w:rPr>
        <w:t>项</w:t>
      </w:r>
      <w:r>
        <w:rPr>
          <w:rFonts w:hint="eastAsia" w:ascii="Times New Roman" w:eastAsia="宋体"/>
          <w:sz w:val="28"/>
        </w:rPr>
        <w:t>得3分。</w:t>
      </w:r>
    </w:p>
    <w:p>
      <w:pPr>
        <w:spacing w:line="360" w:lineRule="auto"/>
        <w:ind w:firstLine="560" w:firstLineChars="200"/>
        <w:jc w:val="left"/>
        <w:rPr>
          <w:rFonts w:ascii="Times New Roman" w:eastAsia="宋体"/>
          <w:sz w:val="28"/>
        </w:rPr>
      </w:pPr>
      <w:r>
        <w:rPr>
          <w:rFonts w:hint="eastAsia" w:ascii="Times New Roman" w:eastAsia="宋体"/>
          <w:sz w:val="28"/>
        </w:rPr>
        <w:t>（2）绩效目标明确性（分值3分）</w:t>
      </w:r>
    </w:p>
    <w:p>
      <w:pPr>
        <w:spacing w:line="360" w:lineRule="auto"/>
        <w:ind w:firstLine="560" w:firstLineChars="200"/>
        <w:jc w:val="left"/>
        <w:rPr>
          <w:rFonts w:ascii="Times New Roman" w:eastAsia="宋体"/>
          <w:sz w:val="28"/>
        </w:rPr>
      </w:pPr>
      <w:r>
        <w:rPr>
          <w:rFonts w:hint="eastAsia" w:ascii="Times New Roman" w:eastAsia="宋体"/>
          <w:sz w:val="28"/>
        </w:rPr>
        <w:t>“绩效目标明确性”指标依据绩效目标设定的绩效指标是否清晰、细化、可衡量。用以反映和考核项目绩效目标的明细化情况。</w:t>
      </w:r>
    </w:p>
    <w:p>
      <w:pPr>
        <w:spacing w:line="360" w:lineRule="auto"/>
        <w:ind w:firstLine="560" w:firstLineChars="200"/>
        <w:jc w:val="left"/>
        <w:rPr>
          <w:rFonts w:ascii="Times New Roman" w:eastAsia="宋体"/>
          <w:sz w:val="28"/>
        </w:rPr>
      </w:pPr>
      <w:r>
        <w:rPr>
          <w:rFonts w:hint="eastAsia" w:ascii="Times New Roman" w:eastAsia="宋体"/>
          <w:sz w:val="28"/>
        </w:rPr>
        <w:t>根据德化县卫健局疫情防控专项支出项目申报表、季度监控表、绩效自评表中，存在部分绩效目标设置不可衡量。如，评价组在检查《德化县卫生健康局9200万元绩效目标》</w:t>
      </w:r>
      <w:r>
        <w:rPr>
          <w:rFonts w:hint="eastAsia" w:ascii="Times New Roman" w:eastAsia="宋体"/>
          <w:sz w:val="28"/>
          <w:lang w:val="en-US" w:eastAsia="zh-CN"/>
        </w:rPr>
        <w:t>中，</w:t>
      </w:r>
      <w:r>
        <w:rPr>
          <w:rFonts w:hint="eastAsia" w:ascii="Times New Roman" w:eastAsia="宋体"/>
          <w:sz w:val="28"/>
        </w:rPr>
        <w:t>“可持续影响目标”</w:t>
      </w:r>
      <w:r>
        <w:rPr>
          <w:rFonts w:hint="eastAsia" w:ascii="Times New Roman" w:eastAsia="宋体"/>
          <w:sz w:val="28"/>
          <w:lang w:val="en-US" w:eastAsia="zh-CN"/>
        </w:rPr>
        <w:t>设置的目标为“</w:t>
      </w:r>
      <w:r>
        <w:rPr>
          <w:rFonts w:hint="eastAsia" w:ascii="Times New Roman" w:eastAsia="宋体"/>
          <w:sz w:val="28"/>
        </w:rPr>
        <w:t>发挥长期影响</w:t>
      </w:r>
      <w:r>
        <w:rPr>
          <w:rFonts w:hint="eastAsia" w:ascii="Times New Roman" w:eastAsia="宋体"/>
          <w:sz w:val="28"/>
          <w:lang w:eastAsia="zh-CN"/>
        </w:rPr>
        <w:t>”</w:t>
      </w:r>
      <w:r>
        <w:rPr>
          <w:rFonts w:hint="eastAsia" w:ascii="Times New Roman" w:eastAsia="宋体"/>
          <w:sz w:val="28"/>
        </w:rPr>
        <w:t>，</w:t>
      </w:r>
      <w:r>
        <w:rPr>
          <w:rFonts w:hint="eastAsia" w:ascii="Times New Roman" w:eastAsia="宋体"/>
          <w:sz w:val="28"/>
          <w:lang w:val="en-US" w:eastAsia="zh-CN"/>
        </w:rPr>
        <w:t>指标没有进行细化，</w:t>
      </w:r>
      <w:r>
        <w:rPr>
          <w:rFonts w:hint="eastAsia" w:ascii="Times New Roman" w:eastAsia="宋体"/>
          <w:sz w:val="28"/>
        </w:rPr>
        <w:t>不具有明确性。根据评分标准，此项扣1分，得2分。</w:t>
      </w:r>
    </w:p>
    <w:p>
      <w:pPr>
        <w:spacing w:line="360" w:lineRule="auto"/>
        <w:jc w:val="left"/>
        <w:outlineLvl w:val="2"/>
        <w:rPr>
          <w:rFonts w:ascii="Times New Roman" w:eastAsia="宋体"/>
          <w:b/>
          <w:bCs/>
          <w:sz w:val="28"/>
        </w:rPr>
      </w:pPr>
      <w:bookmarkStart w:id="74" w:name="_Toc11984"/>
      <w:r>
        <w:rPr>
          <w:rFonts w:hint="eastAsia" w:ascii="Times New Roman" w:eastAsia="宋体"/>
          <w:b/>
          <w:bCs/>
          <w:sz w:val="28"/>
        </w:rPr>
        <w:t>3. 资金投入（分值5分）</w:t>
      </w:r>
      <w:bookmarkEnd w:id="74"/>
    </w:p>
    <w:p>
      <w:pPr>
        <w:spacing w:line="360" w:lineRule="auto"/>
        <w:ind w:firstLine="560" w:firstLineChars="200"/>
        <w:jc w:val="left"/>
        <w:rPr>
          <w:rFonts w:ascii="Times New Roman" w:eastAsia="宋体"/>
          <w:sz w:val="28"/>
        </w:rPr>
      </w:pPr>
      <w:r>
        <w:rPr>
          <w:rFonts w:hint="eastAsia" w:ascii="Times New Roman" w:eastAsia="宋体"/>
          <w:sz w:val="28"/>
        </w:rPr>
        <w:t>（1）预算编制科学性（分值2分）</w:t>
      </w:r>
    </w:p>
    <w:p>
      <w:pPr>
        <w:spacing w:line="360" w:lineRule="auto"/>
        <w:ind w:firstLine="560" w:firstLineChars="200"/>
        <w:jc w:val="left"/>
        <w:rPr>
          <w:rFonts w:ascii="Times New Roman" w:eastAsia="宋体"/>
          <w:sz w:val="28"/>
        </w:rPr>
      </w:pPr>
      <w:r>
        <w:rPr>
          <w:rFonts w:hint="eastAsia" w:ascii="Times New Roman" w:eastAsia="宋体"/>
          <w:sz w:val="28"/>
        </w:rPr>
        <w:t>“预算编制科学性”评价是否经过科学论证并具备明确的标准同时关注资金额度与年度目标之间是否相适应，以及预算资金量与项目工作任务是否相匹配。</w:t>
      </w:r>
    </w:p>
    <w:p>
      <w:pPr>
        <w:spacing w:line="360" w:lineRule="auto"/>
        <w:ind w:firstLine="560" w:firstLineChars="200"/>
        <w:jc w:val="left"/>
        <w:rPr>
          <w:rFonts w:ascii="Times New Roman" w:eastAsia="宋体"/>
          <w:sz w:val="28"/>
        </w:rPr>
      </w:pPr>
      <w:r>
        <w:rPr>
          <w:rFonts w:hint="eastAsia" w:ascii="Times New Roman" w:eastAsia="宋体"/>
          <w:sz w:val="28"/>
        </w:rPr>
        <w:t>德化县财政局 德化县卫健局关于印发《德化县新型冠状病毒感染的肺炎疫情防控专项资金管理办法》按照《福建省财政厅 福建省卫生健康委员会关于印发〈福建省新型冠状病毒感染的肺炎疫情防治工作专项补助资金管理办法〉的通知》（闽财社〔2020〕6号）和《泉州市财政局 泉州市卫生健康委员会关于印发〈新型冠状病毒感染肺炎疫情防控资金管理暂行规定〉的通知》（泉财社〔2020〕23号）标准编制，资金额度与年度目标之间相适应，资金额度与年度目标之间相适应。根据评分标准，此项得2分。</w:t>
      </w:r>
    </w:p>
    <w:p>
      <w:pPr>
        <w:spacing w:line="360" w:lineRule="auto"/>
        <w:ind w:firstLine="560" w:firstLineChars="200"/>
        <w:jc w:val="left"/>
        <w:rPr>
          <w:rFonts w:ascii="Times New Roman" w:eastAsia="宋体"/>
          <w:sz w:val="28"/>
        </w:rPr>
      </w:pPr>
      <w:r>
        <w:rPr>
          <w:rFonts w:hint="eastAsia" w:ascii="Times New Roman" w:eastAsia="宋体"/>
          <w:sz w:val="28"/>
        </w:rPr>
        <w:t>（</w:t>
      </w:r>
      <w:r>
        <w:rPr>
          <w:rFonts w:hint="eastAsia" w:ascii="Times New Roman" w:eastAsia="宋体"/>
          <w:sz w:val="28"/>
          <w:lang w:val="en-US" w:eastAsia="zh-CN"/>
        </w:rPr>
        <w:t>2</w:t>
      </w:r>
      <w:r>
        <w:rPr>
          <w:rFonts w:hint="eastAsia" w:ascii="Times New Roman" w:eastAsia="宋体"/>
          <w:sz w:val="28"/>
        </w:rPr>
        <w:t xml:space="preserve">）资金到位率（分值3分） </w:t>
      </w:r>
    </w:p>
    <w:p>
      <w:pPr>
        <w:spacing w:line="360" w:lineRule="auto"/>
        <w:ind w:firstLine="560" w:firstLineChars="200"/>
        <w:jc w:val="left"/>
        <w:rPr>
          <w:rFonts w:ascii="Times New Roman" w:eastAsia="宋体"/>
          <w:sz w:val="28"/>
        </w:rPr>
      </w:pPr>
      <w:r>
        <w:rPr>
          <w:rFonts w:hint="eastAsia" w:ascii="Times New Roman" w:eastAsia="宋体"/>
          <w:sz w:val="28"/>
        </w:rPr>
        <w:t>“资金到位率”指标用于说明资金到位情况。资金到位率=（实际到位资金/预算资金）×100%，预算资金在2022年度内全部及时到位</w:t>
      </w:r>
      <w:r>
        <w:rPr>
          <w:rFonts w:hint="eastAsia" w:ascii="Times New Roman" w:eastAsia="宋体"/>
          <w:sz w:val="28"/>
          <w:lang w:eastAsia="zh-CN"/>
        </w:rPr>
        <w:t>的</w:t>
      </w:r>
      <w:r>
        <w:rPr>
          <w:rFonts w:hint="eastAsia" w:ascii="Times New Roman" w:eastAsia="宋体"/>
          <w:sz w:val="28"/>
        </w:rPr>
        <w:t>满分。</w:t>
      </w:r>
    </w:p>
    <w:p>
      <w:pPr>
        <w:spacing w:line="360" w:lineRule="auto"/>
        <w:ind w:firstLine="560" w:firstLineChars="200"/>
        <w:jc w:val="left"/>
        <w:rPr>
          <w:rFonts w:ascii="Times New Roman" w:eastAsia="宋体"/>
          <w:sz w:val="28"/>
        </w:rPr>
      </w:pPr>
      <w:r>
        <w:rPr>
          <w:rFonts w:hint="eastAsia" w:ascii="Times New Roman" w:eastAsia="宋体"/>
          <w:sz w:val="28"/>
        </w:rPr>
        <w:t>根据提供的资料所示，2022年补贴预算资金10027万元，实际到位资金10027万元。其中，上级补助资金到位448万元，本级县卫健局到位资金9579万元，18乡镇到位资金379万元，资金到位率100%。根据评分标准，此项得3分。</w:t>
      </w:r>
    </w:p>
    <w:p>
      <w:pPr>
        <w:spacing w:before="156" w:beforeLines="50" w:line="360" w:lineRule="auto"/>
        <w:jc w:val="left"/>
        <w:outlineLvl w:val="1"/>
        <w:rPr>
          <w:rFonts w:ascii="Times New Roman" w:eastAsia="宋体"/>
          <w:b/>
          <w:bCs/>
          <w:sz w:val="30"/>
        </w:rPr>
      </w:pPr>
      <w:bookmarkStart w:id="75" w:name="_Toc20044"/>
      <w:r>
        <w:rPr>
          <w:rFonts w:hint="eastAsia" w:ascii="Times New Roman" w:eastAsia="宋体"/>
          <w:b/>
          <w:bCs/>
          <w:sz w:val="30"/>
        </w:rPr>
        <w:t>（二）过程指标（分值为20分，得1</w:t>
      </w:r>
      <w:r>
        <w:rPr>
          <w:rFonts w:hint="eastAsia" w:ascii="Times New Roman" w:eastAsia="宋体"/>
          <w:b/>
          <w:bCs/>
          <w:sz w:val="30"/>
          <w:lang w:val="en-US" w:eastAsia="zh-CN"/>
        </w:rPr>
        <w:t>6</w:t>
      </w:r>
      <w:r>
        <w:rPr>
          <w:rFonts w:hint="eastAsia" w:ascii="Times New Roman" w:eastAsia="宋体"/>
          <w:b/>
          <w:bCs/>
          <w:sz w:val="30"/>
        </w:rPr>
        <w:t>分）</w:t>
      </w:r>
      <w:bookmarkEnd w:id="75"/>
    </w:p>
    <w:p>
      <w:pPr>
        <w:spacing w:line="360" w:lineRule="auto"/>
        <w:jc w:val="left"/>
        <w:outlineLvl w:val="2"/>
        <w:rPr>
          <w:rFonts w:ascii="Times New Roman" w:eastAsia="宋体"/>
          <w:b/>
          <w:bCs/>
          <w:sz w:val="28"/>
        </w:rPr>
      </w:pPr>
      <w:bookmarkStart w:id="76" w:name="_Toc3638"/>
      <w:r>
        <w:rPr>
          <w:rFonts w:hint="eastAsia" w:ascii="Times New Roman" w:eastAsia="宋体"/>
          <w:b/>
          <w:bCs/>
          <w:sz w:val="28"/>
        </w:rPr>
        <w:t>1. 资金管理（分值6分）</w:t>
      </w:r>
      <w:bookmarkEnd w:id="76"/>
    </w:p>
    <w:p>
      <w:pPr>
        <w:spacing w:line="360" w:lineRule="auto"/>
        <w:ind w:firstLine="560" w:firstLineChars="200"/>
        <w:jc w:val="left"/>
        <w:outlineLvl w:val="2"/>
        <w:rPr>
          <w:rFonts w:ascii="Times New Roman" w:eastAsia="宋体"/>
          <w:sz w:val="28"/>
        </w:rPr>
      </w:pPr>
      <w:bookmarkStart w:id="77" w:name="_Toc13451"/>
      <w:bookmarkStart w:id="78" w:name="_Toc1006"/>
      <w:r>
        <w:rPr>
          <w:rFonts w:hint="eastAsia" w:ascii="Times New Roman" w:eastAsia="宋体"/>
          <w:sz w:val="28"/>
        </w:rPr>
        <w:t>（</w:t>
      </w:r>
      <w:r>
        <w:rPr>
          <w:rFonts w:hint="eastAsia" w:ascii="Times New Roman" w:eastAsia="宋体"/>
          <w:sz w:val="28"/>
          <w:lang w:val="en-US" w:eastAsia="zh-CN"/>
        </w:rPr>
        <w:t>1</w:t>
      </w:r>
      <w:r>
        <w:rPr>
          <w:rFonts w:hint="eastAsia" w:ascii="Times New Roman" w:eastAsia="宋体"/>
          <w:sz w:val="28"/>
        </w:rPr>
        <w:t>）资金分配合理性（分值3分）</w:t>
      </w:r>
      <w:bookmarkEnd w:id="77"/>
      <w:bookmarkEnd w:id="78"/>
    </w:p>
    <w:p>
      <w:pPr>
        <w:spacing w:line="360" w:lineRule="auto"/>
        <w:ind w:firstLine="560" w:firstLineChars="200"/>
        <w:jc w:val="left"/>
        <w:rPr>
          <w:rFonts w:ascii="Times New Roman" w:eastAsia="宋体"/>
          <w:sz w:val="28"/>
        </w:rPr>
      </w:pPr>
      <w:r>
        <w:rPr>
          <w:rFonts w:hint="eastAsia" w:ascii="Times New Roman" w:eastAsia="宋体"/>
          <w:sz w:val="28"/>
        </w:rPr>
        <w:t>“资金分配合理性”用于评价资金分配依据是否充分，分配额度是否合理。</w:t>
      </w:r>
    </w:p>
    <w:p>
      <w:pPr>
        <w:spacing w:line="360" w:lineRule="auto"/>
        <w:ind w:firstLine="560" w:firstLineChars="200"/>
        <w:jc w:val="left"/>
        <w:rPr>
          <w:rFonts w:ascii="Times New Roman" w:eastAsia="宋体"/>
          <w:sz w:val="28"/>
        </w:rPr>
      </w:pPr>
      <w:r>
        <w:rPr>
          <w:rFonts w:hint="eastAsia" w:ascii="Times New Roman" w:eastAsia="宋体"/>
          <w:sz w:val="28"/>
        </w:rPr>
        <w:t>2022年资金分配主要用</w:t>
      </w:r>
      <w:r>
        <w:rPr>
          <w:rFonts w:hint="eastAsia" w:ascii="Times New Roman" w:eastAsia="宋体"/>
          <w:sz w:val="28"/>
          <w:lang w:val="en-US" w:eastAsia="zh-CN"/>
        </w:rPr>
        <w:t>于</w:t>
      </w:r>
      <w:r>
        <w:rPr>
          <w:rFonts w:hint="eastAsia" w:ascii="Times New Roman" w:eastAsia="宋体"/>
          <w:sz w:val="28"/>
        </w:rPr>
        <w:t>患者救治费用补助、疫情防治人员临时性工作补助、采购疫情防控所需设备和试剂等经费。包括医疗卫生机构开展疫情防控工作所需的防护、诊断、治疗专用设备以及快速诊断试剂采购等所需经费、根据疫情防治工作需要，确需支出的其他事项。资金分配额度合理，与实际相适应。根据评分标准，此项得3分。</w:t>
      </w:r>
    </w:p>
    <w:p>
      <w:pPr>
        <w:spacing w:line="360" w:lineRule="auto"/>
        <w:ind w:firstLine="560" w:firstLineChars="200"/>
        <w:jc w:val="left"/>
        <w:outlineLvl w:val="2"/>
        <w:rPr>
          <w:rFonts w:ascii="Times New Roman" w:eastAsia="宋体"/>
          <w:sz w:val="28"/>
        </w:rPr>
      </w:pPr>
      <w:bookmarkStart w:id="79" w:name="_Toc3681"/>
      <w:bookmarkStart w:id="80" w:name="_Toc3006"/>
      <w:r>
        <w:rPr>
          <w:rFonts w:hint="eastAsia" w:ascii="Times New Roman" w:eastAsia="宋体"/>
          <w:sz w:val="28"/>
        </w:rPr>
        <w:t>（</w:t>
      </w:r>
      <w:r>
        <w:rPr>
          <w:rFonts w:hint="eastAsia" w:ascii="Times New Roman" w:eastAsia="宋体"/>
          <w:sz w:val="28"/>
          <w:lang w:val="en-US" w:eastAsia="zh-CN"/>
        </w:rPr>
        <w:t>2</w:t>
      </w:r>
      <w:r>
        <w:rPr>
          <w:rFonts w:hint="eastAsia" w:ascii="Times New Roman" w:eastAsia="宋体"/>
          <w:sz w:val="28"/>
        </w:rPr>
        <w:t>）预算执行率（分值3分）</w:t>
      </w:r>
      <w:bookmarkEnd w:id="79"/>
      <w:bookmarkEnd w:id="80"/>
    </w:p>
    <w:p>
      <w:pPr>
        <w:spacing w:line="360" w:lineRule="auto"/>
        <w:ind w:firstLine="560" w:firstLineChars="200"/>
        <w:jc w:val="left"/>
        <w:rPr>
          <w:rFonts w:ascii="Times New Roman" w:eastAsia="宋体"/>
          <w:sz w:val="28"/>
        </w:rPr>
      </w:pPr>
      <w:r>
        <w:rPr>
          <w:rFonts w:hint="eastAsia" w:ascii="Times New Roman" w:eastAsia="宋体"/>
          <w:sz w:val="28"/>
          <w:lang w:eastAsia="zh-CN"/>
        </w:rPr>
        <w:t>“</w:t>
      </w:r>
      <w:r>
        <w:rPr>
          <w:rFonts w:hint="eastAsia" w:ascii="Times New Roman" w:eastAsia="宋体"/>
          <w:sz w:val="28"/>
        </w:rPr>
        <w:t>预算执行率”指标用于衡量资金使用情况，预算执行率=（实际支出资金/实际到位资金）×100%，预算执行率90%以上</w:t>
      </w:r>
      <w:r>
        <w:rPr>
          <w:rFonts w:hint="eastAsia" w:ascii="Times New Roman" w:eastAsia="宋体"/>
          <w:sz w:val="28"/>
          <w:lang w:eastAsia="zh-CN"/>
        </w:rPr>
        <w:t>的</w:t>
      </w:r>
      <w:r>
        <w:rPr>
          <w:rFonts w:hint="eastAsia" w:ascii="Times New Roman" w:eastAsia="宋体"/>
          <w:sz w:val="28"/>
        </w:rPr>
        <w:t>满分。</w:t>
      </w:r>
    </w:p>
    <w:p>
      <w:pPr>
        <w:spacing w:line="360" w:lineRule="auto"/>
        <w:ind w:firstLine="560" w:firstLineChars="200"/>
        <w:jc w:val="left"/>
        <w:rPr>
          <w:rFonts w:ascii="Times New Roman" w:eastAsia="宋体"/>
          <w:sz w:val="28"/>
        </w:rPr>
      </w:pPr>
      <w:r>
        <w:rPr>
          <w:rFonts w:hint="eastAsia" w:ascii="Times New Roman" w:eastAsia="宋体"/>
          <w:sz w:val="28"/>
        </w:rPr>
        <w:t>根据德化县卫健局和18乡镇提供资料，预算</w:t>
      </w:r>
      <w:r>
        <w:rPr>
          <w:rFonts w:hint="eastAsia" w:ascii="Times New Roman" w:eastAsia="宋体"/>
          <w:sz w:val="28"/>
          <w:lang w:val="en-US" w:eastAsia="zh-CN"/>
        </w:rPr>
        <w:t>经费10027万元，</w:t>
      </w:r>
      <w:r>
        <w:rPr>
          <w:rFonts w:hint="eastAsia" w:ascii="Times New Roman" w:eastAsia="宋体"/>
          <w:sz w:val="28"/>
        </w:rPr>
        <w:t>执行</w:t>
      </w:r>
      <w:r>
        <w:rPr>
          <w:rFonts w:hint="eastAsia" w:ascii="Times New Roman" w:eastAsia="宋体" w:hAnsiTheme="minorEastAsia" w:cstheme="minorEastAsia"/>
          <w:kern w:val="0"/>
          <w:sz w:val="28"/>
          <w:szCs w:val="32"/>
        </w:rPr>
        <w:t>累计</w:t>
      </w:r>
      <w:r>
        <w:rPr>
          <w:rFonts w:hint="eastAsia" w:ascii="Times New Roman" w:hAnsi="宋体" w:eastAsia="宋体" w:cs="宋体"/>
          <w:kern w:val="0"/>
          <w:sz w:val="28"/>
          <w:lang w:bidi="ar"/>
        </w:rPr>
        <w:t>支出9871.5万元，</w:t>
      </w:r>
      <w:r>
        <w:rPr>
          <w:rFonts w:hint="eastAsia" w:ascii="Times New Roman" w:eastAsia="宋体"/>
          <w:sz w:val="28"/>
        </w:rPr>
        <w:t>预算执行率=（</w:t>
      </w:r>
      <w:r>
        <w:rPr>
          <w:rFonts w:hint="eastAsia" w:ascii="Times New Roman" w:hAnsi="宋体" w:eastAsia="宋体" w:cs="宋体"/>
          <w:kern w:val="0"/>
          <w:sz w:val="28"/>
          <w:lang w:bidi="ar"/>
        </w:rPr>
        <w:t>9871.5</w:t>
      </w:r>
      <w:r>
        <w:rPr>
          <w:rFonts w:hint="eastAsia" w:ascii="Times New Roman" w:eastAsia="宋体"/>
          <w:sz w:val="28"/>
        </w:rPr>
        <w:t>/10027）×100%=</w:t>
      </w:r>
      <w:r>
        <w:rPr>
          <w:rFonts w:hint="eastAsia" w:ascii="Times New Roman" w:eastAsia="宋体"/>
          <w:sz w:val="28"/>
          <w:lang w:val="en-US" w:eastAsia="zh-CN"/>
        </w:rPr>
        <w:t>98.45</w:t>
      </w:r>
      <w:r>
        <w:rPr>
          <w:rFonts w:hint="eastAsia" w:ascii="Times New Roman" w:eastAsia="宋体"/>
          <w:sz w:val="28"/>
        </w:rPr>
        <w:t>%。根据评分标准，此项得3分。</w:t>
      </w:r>
    </w:p>
    <w:p>
      <w:pPr>
        <w:spacing w:line="360" w:lineRule="auto"/>
        <w:jc w:val="left"/>
        <w:outlineLvl w:val="2"/>
        <w:rPr>
          <w:rFonts w:ascii="Times New Roman" w:eastAsia="宋体"/>
          <w:b/>
          <w:bCs/>
          <w:sz w:val="28"/>
        </w:rPr>
      </w:pPr>
      <w:bookmarkStart w:id="81" w:name="_Toc29244"/>
      <w:r>
        <w:rPr>
          <w:rFonts w:hint="eastAsia" w:ascii="Times New Roman" w:eastAsia="宋体"/>
          <w:b/>
          <w:bCs/>
          <w:sz w:val="28"/>
        </w:rPr>
        <w:t>2. 组织实施（分值9分）</w:t>
      </w:r>
      <w:bookmarkEnd w:id="81"/>
    </w:p>
    <w:p>
      <w:pPr>
        <w:spacing w:line="360" w:lineRule="auto"/>
        <w:ind w:firstLine="560" w:firstLineChars="200"/>
        <w:jc w:val="left"/>
        <w:outlineLvl w:val="2"/>
        <w:rPr>
          <w:rFonts w:ascii="Times New Roman" w:eastAsia="宋体"/>
          <w:sz w:val="28"/>
        </w:rPr>
      </w:pPr>
      <w:bookmarkStart w:id="82" w:name="_Toc2873"/>
      <w:bookmarkStart w:id="83" w:name="_Toc23150"/>
      <w:r>
        <w:rPr>
          <w:rFonts w:hint="eastAsia" w:ascii="Times New Roman" w:eastAsia="宋体"/>
          <w:sz w:val="28"/>
        </w:rPr>
        <w:t>（1）管理制度健全性（分值3分）</w:t>
      </w:r>
      <w:bookmarkEnd w:id="82"/>
      <w:bookmarkEnd w:id="83"/>
    </w:p>
    <w:p>
      <w:pPr>
        <w:spacing w:line="360" w:lineRule="auto"/>
        <w:ind w:firstLine="560" w:firstLineChars="200"/>
        <w:jc w:val="left"/>
        <w:rPr>
          <w:rFonts w:ascii="Times New Roman" w:eastAsia="宋体"/>
          <w:sz w:val="28"/>
        </w:rPr>
      </w:pPr>
      <w:r>
        <w:rPr>
          <w:rFonts w:hint="eastAsia" w:ascii="Times New Roman" w:eastAsia="宋体"/>
          <w:sz w:val="28"/>
        </w:rPr>
        <w:t>“管理制度健全性”指标用于评价项目实施单位的财务和业务管理制度是否健全，用以反映和考核财务和业务管理制度对项目顺利实施的保障情况。</w:t>
      </w:r>
    </w:p>
    <w:p>
      <w:pPr>
        <w:spacing w:line="360" w:lineRule="auto"/>
        <w:ind w:firstLine="560" w:firstLineChars="200"/>
        <w:jc w:val="left"/>
        <w:rPr>
          <w:rFonts w:ascii="Times New Roman" w:eastAsia="宋体"/>
          <w:sz w:val="28"/>
        </w:rPr>
      </w:pPr>
      <w:r>
        <w:rPr>
          <w:rFonts w:hint="eastAsia" w:ascii="Times New Roman" w:eastAsia="宋体"/>
          <w:sz w:val="28"/>
        </w:rPr>
        <w:t>经评价小组调查，德化县疫情防控专项资金按照《福建省财政厅 福建省卫生健康委员会关于印发〈福建省新型冠状病毒感染的肺炎疫情防治工作专项补助资金管理办法〉的通知》（闽财社〔2020〕6号）和《泉州市财政局 泉州市卫生健康委员会关于印发〈新型冠状病毒感染肺炎疫情防控资金管理暂行规定〉的通知》（泉财社〔2020〕23号）标准编制文件精神，制定《德化县新型冠状病毒感染的肺炎疫情防控专项资金管理办法》，符合国家财经法规和财务管理制度以及有关专项资金管理办法的规定。此项得3分。</w:t>
      </w:r>
    </w:p>
    <w:p>
      <w:pPr>
        <w:spacing w:line="360" w:lineRule="auto"/>
        <w:ind w:firstLine="560" w:firstLineChars="200"/>
        <w:jc w:val="left"/>
        <w:outlineLvl w:val="2"/>
        <w:rPr>
          <w:rFonts w:ascii="Times New Roman" w:eastAsia="宋体"/>
          <w:sz w:val="28"/>
        </w:rPr>
      </w:pPr>
      <w:bookmarkStart w:id="84" w:name="_Toc24083"/>
      <w:bookmarkStart w:id="85" w:name="_Toc28425"/>
      <w:r>
        <w:rPr>
          <w:rFonts w:hint="eastAsia" w:ascii="Times New Roman" w:eastAsia="宋体"/>
          <w:sz w:val="28"/>
        </w:rPr>
        <w:t>（2）制度执行有效性（分值3分）</w:t>
      </w:r>
      <w:bookmarkEnd w:id="84"/>
      <w:bookmarkEnd w:id="85"/>
    </w:p>
    <w:p>
      <w:pPr>
        <w:spacing w:line="360" w:lineRule="auto"/>
        <w:ind w:firstLine="560" w:firstLineChars="200"/>
        <w:jc w:val="left"/>
        <w:rPr>
          <w:rFonts w:ascii="Times New Roman" w:eastAsia="宋体"/>
          <w:sz w:val="28"/>
        </w:rPr>
      </w:pPr>
      <w:r>
        <w:rPr>
          <w:rFonts w:hint="eastAsia" w:ascii="Times New Roman" w:eastAsia="宋体"/>
          <w:sz w:val="28"/>
          <w:lang w:eastAsia="zh-CN"/>
        </w:rPr>
        <w:t>“</w:t>
      </w:r>
      <w:r>
        <w:rPr>
          <w:rFonts w:hint="eastAsia" w:ascii="Times New Roman" w:eastAsia="宋体"/>
          <w:sz w:val="28"/>
        </w:rPr>
        <w:t>制度执行有效性”指标用于评价项目实施是否符合相关管理规定，项目调整及支出手续是否完备，各项资料是否及时归档。用以反映和考核相关管理制度的有效执行情况。</w:t>
      </w:r>
    </w:p>
    <w:p>
      <w:pPr>
        <w:spacing w:line="360" w:lineRule="auto"/>
        <w:ind w:firstLine="560" w:firstLineChars="200"/>
        <w:jc w:val="left"/>
        <w:rPr>
          <w:rFonts w:ascii="Times New Roman" w:eastAsia="宋体"/>
          <w:sz w:val="28"/>
        </w:rPr>
      </w:pPr>
      <w:r>
        <w:rPr>
          <w:rFonts w:hint="eastAsia" w:ascii="Times New Roman" w:eastAsia="宋体"/>
          <w:sz w:val="28"/>
        </w:rPr>
        <w:t>经评价组查阅相关的项目验收材料和实地查看项目实施情况，项目实施基本符合相关法律法规及管理制度规定，但也存在合同不规范</w:t>
      </w:r>
      <w:r>
        <w:rPr>
          <w:rFonts w:hint="eastAsia" w:ascii="Times New Roman" w:eastAsia="宋体"/>
          <w:sz w:val="28"/>
          <w:lang w:eastAsia="zh-CN"/>
        </w:rPr>
        <w:t>、</w:t>
      </w:r>
      <w:r>
        <w:rPr>
          <w:rFonts w:hint="eastAsia" w:ascii="Times New Roman" w:eastAsia="宋体"/>
          <w:sz w:val="28"/>
        </w:rPr>
        <w:t>材料签字不完整现象。如，三班镇疫情期间电脑等办公设备租赁没有签订合同。龙浔镇存在部分合同、验收单没盖章签字</w:t>
      </w:r>
      <w:r>
        <w:rPr>
          <w:rFonts w:hint="eastAsia" w:ascii="Times New Roman" w:eastAsia="宋体"/>
          <w:sz w:val="28"/>
          <w:lang w:eastAsia="zh-CN"/>
        </w:rPr>
        <w:t>，</w:t>
      </w:r>
      <w:r>
        <w:rPr>
          <w:rFonts w:hint="eastAsia" w:ascii="Times New Roman" w:eastAsia="宋体"/>
          <w:sz w:val="28"/>
        </w:rPr>
        <w:t>合同不规范。</w:t>
      </w:r>
      <w:r>
        <w:rPr>
          <w:rFonts w:hint="eastAsia" w:ascii="Times New Roman" w:eastAsia="宋体"/>
          <w:sz w:val="28"/>
          <w:lang w:val="en-US" w:eastAsia="zh-CN"/>
        </w:rPr>
        <w:t>此外，还存在</w:t>
      </w:r>
      <w:r>
        <w:rPr>
          <w:rFonts w:hint="eastAsia" w:ascii="Times New Roman" w:eastAsia="宋体"/>
          <w:sz w:val="28"/>
        </w:rPr>
        <w:t>部分乡镇物资领取登记表领取人没有登记</w:t>
      </w:r>
      <w:r>
        <w:rPr>
          <w:rFonts w:hint="eastAsia" w:ascii="Times New Roman" w:eastAsia="宋体"/>
          <w:sz w:val="28"/>
          <w:lang w:eastAsia="zh-CN"/>
        </w:rPr>
        <w:t>，</w:t>
      </w:r>
      <w:r>
        <w:rPr>
          <w:rFonts w:hint="eastAsia" w:ascii="Times New Roman" w:eastAsia="宋体"/>
          <w:sz w:val="28"/>
        </w:rPr>
        <w:t>资料</w:t>
      </w:r>
      <w:r>
        <w:rPr>
          <w:rFonts w:hint="eastAsia" w:ascii="Times New Roman" w:eastAsia="宋体"/>
          <w:sz w:val="28"/>
          <w:lang w:val="en-US" w:eastAsia="zh-CN"/>
        </w:rPr>
        <w:t>未及时</w:t>
      </w:r>
      <w:r>
        <w:rPr>
          <w:rFonts w:hint="eastAsia" w:ascii="Times New Roman" w:eastAsia="宋体"/>
          <w:sz w:val="28"/>
        </w:rPr>
        <w:t>归档</w:t>
      </w:r>
      <w:r>
        <w:rPr>
          <w:rFonts w:hint="eastAsia" w:ascii="Times New Roman" w:eastAsia="宋体"/>
          <w:sz w:val="28"/>
          <w:lang w:val="en-US" w:eastAsia="zh-CN"/>
        </w:rPr>
        <w:t>情况</w:t>
      </w:r>
      <w:r>
        <w:rPr>
          <w:rFonts w:hint="eastAsia" w:ascii="Times New Roman" w:eastAsia="宋体"/>
          <w:sz w:val="28"/>
        </w:rPr>
        <w:t>。根据评分标准，此项扣2分，得1分。</w:t>
      </w:r>
    </w:p>
    <w:p>
      <w:pPr>
        <w:numPr>
          <w:ilvl w:val="0"/>
          <w:numId w:val="5"/>
        </w:numPr>
        <w:spacing w:line="360" w:lineRule="auto"/>
        <w:ind w:firstLine="560" w:firstLineChars="200"/>
        <w:jc w:val="left"/>
        <w:outlineLvl w:val="2"/>
        <w:rPr>
          <w:rFonts w:ascii="Times New Roman" w:eastAsia="宋体"/>
          <w:sz w:val="28"/>
        </w:rPr>
      </w:pPr>
      <w:bookmarkStart w:id="86" w:name="_Toc10516"/>
      <w:bookmarkStart w:id="87" w:name="_Toc22035"/>
      <w:r>
        <w:rPr>
          <w:rFonts w:hint="eastAsia" w:ascii="Times New Roman" w:eastAsia="宋体"/>
          <w:sz w:val="28"/>
        </w:rPr>
        <w:t>采购制度健全性（分值3分）</w:t>
      </w:r>
      <w:bookmarkEnd w:id="86"/>
      <w:bookmarkEnd w:id="87"/>
    </w:p>
    <w:p>
      <w:pPr>
        <w:spacing w:line="360" w:lineRule="auto"/>
        <w:ind w:firstLine="560" w:firstLineChars="200"/>
        <w:jc w:val="left"/>
        <w:rPr>
          <w:rFonts w:ascii="Times New Roman" w:eastAsia="宋体"/>
          <w:sz w:val="28"/>
        </w:rPr>
      </w:pPr>
      <w:r>
        <w:rPr>
          <w:rFonts w:hint="eastAsia" w:ascii="Times New Roman" w:eastAsia="宋体"/>
          <w:sz w:val="28"/>
        </w:rPr>
        <w:t>通过评价资金使用单位提供的采购合同及相关基础资料 ，发现以下问题：资金使用单位疫情期间防疫物资采购启用了绿色通道</w:t>
      </w:r>
      <w:r>
        <w:rPr>
          <w:rFonts w:hint="eastAsia" w:ascii="Times New Roman" w:eastAsia="宋体"/>
          <w:sz w:val="28"/>
          <w:lang w:eastAsia="zh-CN"/>
        </w:rPr>
        <w:t>，</w:t>
      </w:r>
      <w:r>
        <w:rPr>
          <w:rFonts w:hint="eastAsia" w:ascii="Times New Roman" w:eastAsia="宋体"/>
          <w:sz w:val="28"/>
        </w:rPr>
        <w:t>但未按照《财政部办公厅关于疫情防控采购便利化的通知》建立紧急采购内控制度，参照各单位部门采购内控制度执行。如，三班镇疫情期间电脑等办公设备租赁没有签订合同，付款金额和发票及清单不一致。清单金额有误，没</w:t>
      </w:r>
      <w:r>
        <w:rPr>
          <w:rFonts w:hint="eastAsia" w:ascii="Times New Roman" w:eastAsia="宋体"/>
          <w:b/>
          <w:bCs/>
          <w:sz w:val="28"/>
        </w:rPr>
        <w:t>有</w:t>
      </w:r>
      <w:r>
        <w:rPr>
          <w:rFonts w:hint="eastAsia" w:ascii="Times New Roman" w:eastAsia="宋体"/>
          <w:sz w:val="28"/>
        </w:rPr>
        <w:t>要求供货商重新修改，发票也没有改。根据评分标准，此项扣2分，该指标得 1分。</w:t>
      </w:r>
    </w:p>
    <w:p>
      <w:pPr>
        <w:spacing w:line="360" w:lineRule="auto"/>
        <w:jc w:val="left"/>
        <w:outlineLvl w:val="2"/>
        <w:rPr>
          <w:rFonts w:ascii="Times New Roman" w:eastAsia="宋体"/>
          <w:b/>
          <w:bCs/>
          <w:sz w:val="28"/>
        </w:rPr>
      </w:pPr>
      <w:bookmarkStart w:id="88" w:name="_Toc13580"/>
      <w:r>
        <w:rPr>
          <w:rFonts w:hint="eastAsia" w:ascii="Times New Roman" w:eastAsia="宋体"/>
          <w:b/>
          <w:bCs/>
          <w:sz w:val="28"/>
        </w:rPr>
        <w:t>3. 绩效管理（分值</w:t>
      </w:r>
      <w:r>
        <w:rPr>
          <w:rFonts w:hint="eastAsia" w:ascii="Times New Roman" w:eastAsia="宋体"/>
          <w:b/>
          <w:bCs/>
          <w:sz w:val="28"/>
          <w:lang w:val="en-US" w:eastAsia="zh-CN"/>
        </w:rPr>
        <w:t>5</w:t>
      </w:r>
      <w:r>
        <w:rPr>
          <w:rFonts w:hint="eastAsia" w:ascii="Times New Roman" w:eastAsia="宋体"/>
          <w:b/>
          <w:bCs/>
          <w:sz w:val="28"/>
        </w:rPr>
        <w:t>分）</w:t>
      </w:r>
      <w:bookmarkEnd w:id="88"/>
    </w:p>
    <w:p>
      <w:pPr>
        <w:spacing w:line="360" w:lineRule="auto"/>
        <w:ind w:firstLine="560" w:firstLineChars="200"/>
        <w:jc w:val="left"/>
        <w:outlineLvl w:val="2"/>
        <w:rPr>
          <w:rFonts w:ascii="Times New Roman" w:eastAsia="宋体"/>
          <w:sz w:val="28"/>
        </w:rPr>
      </w:pPr>
      <w:bookmarkStart w:id="89" w:name="_Toc15567"/>
      <w:bookmarkStart w:id="90" w:name="_Toc15815"/>
      <w:r>
        <w:rPr>
          <w:rFonts w:hint="eastAsia" w:ascii="Times New Roman" w:eastAsia="宋体"/>
          <w:sz w:val="28"/>
        </w:rPr>
        <w:t>（1）预算绩效管理情况（分值2分）</w:t>
      </w:r>
      <w:bookmarkEnd w:id="89"/>
      <w:bookmarkEnd w:id="90"/>
    </w:p>
    <w:p>
      <w:pPr>
        <w:spacing w:line="360" w:lineRule="auto"/>
        <w:ind w:firstLine="560" w:firstLineChars="200"/>
        <w:jc w:val="left"/>
        <w:rPr>
          <w:rFonts w:ascii="Times New Roman" w:eastAsia="宋体"/>
          <w:sz w:val="28"/>
        </w:rPr>
      </w:pPr>
      <w:r>
        <w:rPr>
          <w:rFonts w:hint="eastAsia" w:ascii="Times New Roman" w:eastAsia="宋体"/>
          <w:sz w:val="28"/>
        </w:rPr>
        <w:t>“预算绩效管理情况”指标是衡量项目监控过程的情况，对偏离绩效目标的项目采取措施及时纠正。</w:t>
      </w:r>
    </w:p>
    <w:p>
      <w:pPr>
        <w:spacing w:line="360" w:lineRule="auto"/>
        <w:ind w:firstLine="560" w:firstLineChars="200"/>
        <w:jc w:val="left"/>
        <w:rPr>
          <w:rFonts w:ascii="Times New Roman" w:eastAsia="宋体"/>
          <w:sz w:val="28"/>
        </w:rPr>
      </w:pPr>
      <w:r>
        <w:rPr>
          <w:rFonts w:hint="eastAsia" w:ascii="Times New Roman" w:eastAsia="宋体"/>
          <w:sz w:val="28"/>
        </w:rPr>
        <w:t>对部门绩效管理工作开展情况进行核查评价计算得分，包括绩效目标管理，绩效执行监控和绩效自评和评价结果应用等情况进行综合计算，通过项目是否已制定或具有相应的监控机制和财务检查手段进行评价，得出绩效管理的分值情况。</w:t>
      </w:r>
    </w:p>
    <w:p>
      <w:pPr>
        <w:rPr>
          <w:rFonts w:ascii="Times New Roman" w:eastAsia="宋体"/>
          <w:sz w:val="28"/>
        </w:rPr>
      </w:pPr>
      <w:r>
        <w:rPr>
          <w:rFonts w:hint="eastAsia" w:ascii="Times New Roman" w:eastAsia="宋体"/>
          <w:sz w:val="28"/>
          <w:lang w:val="en-US" w:eastAsia="zh-CN"/>
        </w:rPr>
        <w:t>德化县卫健局向评价组提供的2022年度疫情防控专项资金</w:t>
      </w:r>
      <w:r>
        <w:rPr>
          <w:rFonts w:hint="eastAsia" w:ascii="Times New Roman" w:eastAsia="宋体"/>
          <w:sz w:val="28"/>
        </w:rPr>
        <w:t>绩效目标申报表</w:t>
      </w:r>
      <w:r>
        <w:rPr>
          <w:rFonts w:hint="eastAsia" w:ascii="Times New Roman" w:eastAsia="宋体"/>
          <w:sz w:val="28"/>
          <w:lang w:val="en-US" w:eastAsia="zh-CN"/>
        </w:rPr>
        <w:t>和</w:t>
      </w:r>
      <w:r>
        <w:rPr>
          <w:rFonts w:hint="eastAsia" w:ascii="Times New Roman" w:eastAsia="宋体"/>
          <w:sz w:val="28"/>
        </w:rPr>
        <w:t>绩效监控表</w:t>
      </w:r>
      <w:r>
        <w:rPr>
          <w:rFonts w:hint="eastAsia" w:ascii="Times New Roman" w:eastAsia="宋体"/>
          <w:sz w:val="28"/>
          <w:lang w:eastAsia="zh-CN"/>
        </w:rPr>
        <w:t>，</w:t>
      </w:r>
      <w:r>
        <w:rPr>
          <w:rFonts w:hint="eastAsia" w:ascii="Times New Roman" w:eastAsia="宋体"/>
          <w:sz w:val="28"/>
        </w:rPr>
        <w:t>能够对绩效目标运行监控，</w:t>
      </w:r>
      <w:r>
        <w:rPr>
          <w:rFonts w:hint="eastAsia" w:ascii="Times New Roman" w:eastAsia="宋体"/>
          <w:sz w:val="28"/>
          <w:lang w:eastAsia="zh-CN"/>
        </w:rPr>
        <w:t>疫情期间县卫健局在县防控指挥部领导下开展工作</w:t>
      </w:r>
      <w:r>
        <w:rPr>
          <w:rFonts w:hint="eastAsia" w:ascii="Times New Roman" w:eastAsia="宋体"/>
          <w:sz w:val="28"/>
        </w:rPr>
        <w:t>，</w:t>
      </w:r>
      <w:r>
        <w:rPr>
          <w:rFonts w:hint="eastAsia" w:ascii="Times New Roman" w:eastAsia="宋体"/>
          <w:sz w:val="28"/>
          <w:lang w:eastAsia="zh-CN"/>
        </w:rPr>
        <w:t>疫情防控资金拨付经过县防控办签批才能拨付。</w:t>
      </w:r>
      <w:r>
        <w:rPr>
          <w:rFonts w:hint="eastAsia" w:ascii="Times New Roman" w:eastAsia="宋体"/>
          <w:sz w:val="28"/>
        </w:rPr>
        <w:t>根据评分标准，此项得分2分。</w:t>
      </w:r>
    </w:p>
    <w:p>
      <w:pPr>
        <w:spacing w:line="360" w:lineRule="auto"/>
        <w:ind w:firstLine="560" w:firstLineChars="200"/>
        <w:jc w:val="left"/>
        <w:outlineLvl w:val="2"/>
        <w:rPr>
          <w:rFonts w:ascii="Times New Roman" w:eastAsia="宋体"/>
          <w:sz w:val="28"/>
        </w:rPr>
      </w:pPr>
      <w:bookmarkStart w:id="91" w:name="_Toc19681"/>
      <w:bookmarkStart w:id="92" w:name="_Toc29308"/>
      <w:r>
        <w:rPr>
          <w:rFonts w:hint="eastAsia" w:ascii="Times New Roman" w:eastAsia="宋体"/>
          <w:sz w:val="28"/>
        </w:rPr>
        <w:t>（2）绩效自评合规性（分值3分）</w:t>
      </w:r>
      <w:bookmarkEnd w:id="91"/>
      <w:bookmarkEnd w:id="92"/>
    </w:p>
    <w:p>
      <w:pPr>
        <w:spacing w:line="360" w:lineRule="auto"/>
        <w:ind w:firstLine="560" w:firstLineChars="200"/>
        <w:jc w:val="left"/>
        <w:rPr>
          <w:rFonts w:ascii="Times New Roman" w:eastAsia="宋体"/>
          <w:sz w:val="28"/>
        </w:rPr>
      </w:pPr>
      <w:r>
        <w:rPr>
          <w:rFonts w:hint="eastAsia" w:ascii="Times New Roman" w:eastAsia="宋体"/>
          <w:sz w:val="28"/>
        </w:rPr>
        <w:t>“绩效自评合规性”指标是考核衡量项目是否按要求开展绩效自评工作；绩效自评报告是否报送及时。</w:t>
      </w:r>
    </w:p>
    <w:p>
      <w:pPr>
        <w:spacing w:line="360" w:lineRule="auto"/>
        <w:ind w:firstLine="560" w:firstLineChars="200"/>
        <w:jc w:val="left"/>
        <w:rPr>
          <w:rFonts w:ascii="Times New Roman" w:eastAsia="宋体"/>
          <w:sz w:val="28"/>
        </w:rPr>
      </w:pPr>
      <w:r>
        <w:rPr>
          <w:rFonts w:hint="eastAsia" w:ascii="Times New Roman" w:eastAsia="宋体"/>
          <w:sz w:val="28"/>
          <w:lang w:val="en-US" w:eastAsia="zh-CN"/>
        </w:rPr>
        <w:t>从德化县卫健局向评价组提供的疫情防控专项资金</w:t>
      </w:r>
      <w:r>
        <w:rPr>
          <w:rFonts w:hint="eastAsia" w:ascii="Times New Roman" w:eastAsia="宋体"/>
          <w:sz w:val="28"/>
        </w:rPr>
        <w:t>的绩效</w:t>
      </w:r>
      <w:r>
        <w:rPr>
          <w:rFonts w:hint="eastAsia" w:ascii="Times New Roman" w:eastAsia="宋体"/>
          <w:sz w:val="28"/>
          <w:lang w:val="en-US" w:eastAsia="zh-CN"/>
        </w:rPr>
        <w:t>自评表和自评报告来看</w:t>
      </w:r>
      <w:r>
        <w:rPr>
          <w:rFonts w:hint="eastAsia" w:ascii="Times New Roman" w:eastAsia="宋体"/>
          <w:sz w:val="28"/>
          <w:lang w:eastAsia="zh-CN"/>
        </w:rPr>
        <w:t>，</w:t>
      </w:r>
      <w:r>
        <w:rPr>
          <w:rFonts w:hint="eastAsia" w:ascii="Times New Roman" w:eastAsia="宋体"/>
          <w:sz w:val="28"/>
          <w:lang w:val="en-US" w:eastAsia="zh-CN"/>
        </w:rPr>
        <w:t>2022年度及时对疫情防控</w:t>
      </w:r>
      <w:r>
        <w:rPr>
          <w:rFonts w:hint="eastAsia" w:ascii="Times New Roman" w:eastAsia="宋体"/>
          <w:sz w:val="28"/>
        </w:rPr>
        <w:t>专项资金的使用情况进行总结，</w:t>
      </w:r>
      <w:r>
        <w:rPr>
          <w:rFonts w:hint="eastAsia" w:ascii="Times New Roman" w:eastAsia="宋体"/>
          <w:sz w:val="28"/>
          <w:lang w:val="en-US" w:eastAsia="zh-CN"/>
        </w:rPr>
        <w:t>并按要求</w:t>
      </w:r>
      <w:r>
        <w:rPr>
          <w:rFonts w:hint="eastAsia" w:ascii="Times New Roman" w:eastAsia="宋体"/>
          <w:sz w:val="28"/>
        </w:rPr>
        <w:t>向财政部门报送自评报告。根据评分标准，该</w:t>
      </w:r>
      <w:r>
        <w:rPr>
          <w:rFonts w:hint="eastAsia" w:ascii="Times New Roman" w:eastAsia="宋体"/>
          <w:sz w:val="28"/>
          <w:lang w:val="en-US" w:eastAsia="zh-CN"/>
        </w:rPr>
        <w:t>项</w:t>
      </w:r>
      <w:r>
        <w:rPr>
          <w:rFonts w:hint="eastAsia" w:ascii="Times New Roman" w:eastAsia="宋体"/>
          <w:sz w:val="28"/>
        </w:rPr>
        <w:t>得3分。</w:t>
      </w:r>
    </w:p>
    <w:p>
      <w:pPr>
        <w:spacing w:before="156" w:beforeLines="50" w:line="360" w:lineRule="auto"/>
        <w:jc w:val="left"/>
        <w:outlineLvl w:val="1"/>
        <w:rPr>
          <w:rFonts w:ascii="Times New Roman" w:eastAsia="宋体"/>
          <w:b/>
          <w:bCs/>
          <w:sz w:val="30"/>
        </w:rPr>
      </w:pPr>
      <w:bookmarkStart w:id="93" w:name="_Toc22054"/>
      <w:r>
        <w:rPr>
          <w:rFonts w:hint="eastAsia" w:ascii="Times New Roman" w:eastAsia="宋体"/>
          <w:b/>
          <w:bCs/>
          <w:sz w:val="30"/>
        </w:rPr>
        <w:t>（三）产出（分值为</w:t>
      </w:r>
      <w:r>
        <w:rPr>
          <w:rFonts w:hint="eastAsia" w:ascii="Times New Roman" w:eastAsia="宋体"/>
          <w:b/>
          <w:bCs/>
          <w:sz w:val="30"/>
          <w:lang w:val="en-US" w:eastAsia="zh-CN"/>
        </w:rPr>
        <w:t>35</w:t>
      </w:r>
      <w:r>
        <w:rPr>
          <w:rFonts w:hint="eastAsia" w:ascii="Times New Roman" w:eastAsia="宋体"/>
          <w:b/>
          <w:bCs/>
          <w:sz w:val="30"/>
        </w:rPr>
        <w:t>，得分</w:t>
      </w:r>
      <w:r>
        <w:rPr>
          <w:rFonts w:hint="eastAsia" w:ascii="Times New Roman" w:eastAsia="宋体"/>
          <w:b/>
          <w:bCs/>
          <w:sz w:val="30"/>
          <w:lang w:val="en-US" w:eastAsia="zh-CN"/>
        </w:rPr>
        <w:t>30</w:t>
      </w:r>
      <w:r>
        <w:rPr>
          <w:rFonts w:hint="eastAsia" w:ascii="Times New Roman" w:eastAsia="宋体"/>
          <w:b/>
          <w:bCs/>
          <w:sz w:val="30"/>
        </w:rPr>
        <w:t>分）</w:t>
      </w:r>
      <w:bookmarkEnd w:id="93"/>
    </w:p>
    <w:p>
      <w:pPr>
        <w:spacing w:line="360" w:lineRule="auto"/>
        <w:jc w:val="left"/>
        <w:outlineLvl w:val="2"/>
        <w:rPr>
          <w:rFonts w:ascii="Times New Roman" w:eastAsia="宋体"/>
          <w:b/>
          <w:bCs/>
          <w:sz w:val="28"/>
        </w:rPr>
      </w:pPr>
      <w:bookmarkStart w:id="94" w:name="_Toc16207"/>
      <w:r>
        <w:rPr>
          <w:rFonts w:hint="eastAsia" w:ascii="Times New Roman" w:eastAsia="宋体"/>
          <w:b/>
          <w:bCs/>
          <w:sz w:val="28"/>
        </w:rPr>
        <w:t>1. 产出数量（分值15分）</w:t>
      </w:r>
      <w:bookmarkEnd w:id="94"/>
    </w:p>
    <w:p>
      <w:pPr>
        <w:spacing w:line="360" w:lineRule="auto"/>
        <w:ind w:firstLine="560" w:firstLineChars="200"/>
        <w:jc w:val="left"/>
        <w:outlineLvl w:val="2"/>
        <w:rPr>
          <w:rFonts w:ascii="Times New Roman" w:eastAsia="宋体"/>
          <w:sz w:val="28"/>
        </w:rPr>
      </w:pPr>
      <w:bookmarkStart w:id="95" w:name="_Toc1257"/>
      <w:bookmarkStart w:id="96" w:name="_Toc15064"/>
      <w:r>
        <w:rPr>
          <w:rFonts w:hint="eastAsia" w:ascii="Times New Roman" w:eastAsia="宋体"/>
          <w:sz w:val="28"/>
        </w:rPr>
        <w:t>（1）县医院核酸检测累计采集人次（分值3分）</w:t>
      </w:r>
      <w:bookmarkEnd w:id="95"/>
      <w:bookmarkEnd w:id="96"/>
    </w:p>
    <w:p>
      <w:pPr>
        <w:spacing w:line="360" w:lineRule="auto"/>
        <w:ind w:firstLine="560" w:firstLineChars="200"/>
        <w:jc w:val="left"/>
        <w:rPr>
          <w:rFonts w:hint="eastAsia" w:ascii="Times New Roman" w:eastAsia="宋体"/>
          <w:sz w:val="28"/>
          <w:lang w:eastAsia="zh-CN"/>
        </w:rPr>
      </w:pPr>
      <w:r>
        <w:rPr>
          <w:rFonts w:hint="eastAsia" w:ascii="Times New Roman" w:eastAsia="宋体"/>
          <w:sz w:val="28"/>
        </w:rPr>
        <w:t>“县医院核酸检测累计采集人次”用于衡量2022年度在德化县医院核酸检测的总人数。评分标准为：“县医院核酸检测累计采集人次超过290万人得满分，每少1000人扣1分。</w:t>
      </w:r>
      <w:r>
        <w:rPr>
          <w:rFonts w:hint="eastAsia" w:ascii="Times New Roman" w:eastAsia="宋体"/>
          <w:sz w:val="28"/>
          <w:lang w:eastAsia="zh-CN"/>
        </w:rPr>
        <w:t>”</w:t>
      </w:r>
    </w:p>
    <w:p>
      <w:pPr>
        <w:spacing w:line="360" w:lineRule="auto"/>
        <w:ind w:firstLine="560" w:firstLineChars="200"/>
        <w:jc w:val="left"/>
        <w:rPr>
          <w:rFonts w:ascii="Times New Roman" w:eastAsia="宋体"/>
          <w:sz w:val="28"/>
        </w:rPr>
      </w:pPr>
      <w:r>
        <w:rPr>
          <w:rFonts w:hint="eastAsia" w:ascii="Times New Roman" w:eastAsia="宋体"/>
          <w:sz w:val="28"/>
        </w:rPr>
        <w:t>2022年度德化县医院核酸检测3770466人次，采样3629741人次</w:t>
      </w:r>
      <w:r>
        <w:rPr>
          <w:rFonts w:hint="eastAsia" w:ascii="Times New Roman" w:eastAsia="宋体"/>
          <w:sz w:val="28"/>
          <w:lang w:eastAsia="zh-CN"/>
        </w:rPr>
        <w:t>，</w:t>
      </w:r>
      <w:r>
        <w:rPr>
          <w:rFonts w:hint="eastAsia" w:ascii="Times New Roman" w:eastAsia="宋体"/>
          <w:sz w:val="28"/>
        </w:rPr>
        <w:t>根据评分标准，该指标得3分。</w:t>
      </w:r>
    </w:p>
    <w:p>
      <w:pPr>
        <w:spacing w:line="360" w:lineRule="auto"/>
        <w:ind w:firstLine="560" w:firstLineChars="200"/>
        <w:jc w:val="left"/>
        <w:rPr>
          <w:rFonts w:ascii="Times New Roman" w:hAnsi="宋体" w:eastAsia="宋体" w:cs="宋体"/>
          <w:sz w:val="28"/>
          <w:szCs w:val="21"/>
        </w:rPr>
      </w:pPr>
      <w:r>
        <w:rPr>
          <w:rFonts w:hint="eastAsia" w:ascii="Times New Roman" w:hAnsi="宋体" w:eastAsia="宋体" w:cs="宋体"/>
          <w:sz w:val="28"/>
          <w:szCs w:val="21"/>
        </w:rPr>
        <w:t>（2）组织人员培训（分值3分）</w:t>
      </w:r>
    </w:p>
    <w:p>
      <w:pPr>
        <w:spacing w:line="360" w:lineRule="auto"/>
        <w:ind w:firstLine="560" w:firstLineChars="200"/>
        <w:jc w:val="left"/>
        <w:rPr>
          <w:rFonts w:hint="eastAsia" w:ascii="Times New Roman" w:hAnsi="宋体" w:eastAsia="宋体" w:cs="宋体"/>
          <w:sz w:val="28"/>
          <w:szCs w:val="21"/>
          <w:lang w:eastAsia="zh-CN"/>
        </w:rPr>
      </w:pPr>
      <w:r>
        <w:rPr>
          <w:rFonts w:hint="eastAsia" w:ascii="Times New Roman" w:hAnsi="宋体" w:eastAsia="宋体" w:cs="宋体"/>
          <w:sz w:val="28"/>
          <w:szCs w:val="21"/>
          <w:lang w:eastAsia="zh-CN"/>
        </w:rPr>
        <w:t>“</w:t>
      </w:r>
      <w:r>
        <w:rPr>
          <w:rFonts w:hint="eastAsia" w:ascii="Times New Roman" w:hAnsi="宋体" w:eastAsia="宋体" w:cs="宋体"/>
          <w:sz w:val="28"/>
          <w:szCs w:val="21"/>
        </w:rPr>
        <w:t>组织人员培训</w:t>
      </w:r>
      <w:r>
        <w:rPr>
          <w:rFonts w:hint="eastAsia" w:ascii="Times New Roman" w:hAnsi="宋体" w:eastAsia="宋体" w:cs="宋体"/>
          <w:sz w:val="28"/>
          <w:szCs w:val="21"/>
          <w:lang w:eastAsia="zh-CN"/>
        </w:rPr>
        <w:t>”用于评价组织</w:t>
      </w:r>
      <w:r>
        <w:rPr>
          <w:rFonts w:hint="eastAsia" w:ascii="Times New Roman" w:hAnsi="宋体" w:eastAsia="宋体" w:cs="宋体"/>
          <w:sz w:val="28"/>
          <w:szCs w:val="21"/>
          <w:lang w:val="en-US" w:eastAsia="zh-CN"/>
        </w:rPr>
        <w:t>培训</w:t>
      </w:r>
      <w:r>
        <w:rPr>
          <w:rFonts w:hint="eastAsia" w:ascii="Times New Roman" w:hAnsi="宋体" w:eastAsia="宋体" w:cs="宋体"/>
          <w:sz w:val="28"/>
          <w:szCs w:val="21"/>
          <w:lang w:eastAsia="zh-CN"/>
        </w:rPr>
        <w:t>医疗机构检验相关专业人员</w:t>
      </w:r>
      <w:r>
        <w:rPr>
          <w:rFonts w:hint="eastAsia" w:ascii="Times New Roman" w:hAnsi="宋体" w:eastAsia="宋体" w:cs="宋体"/>
          <w:sz w:val="28"/>
          <w:szCs w:val="21"/>
          <w:lang w:val="en-US" w:eastAsia="zh-CN"/>
        </w:rPr>
        <w:t>数量</w:t>
      </w:r>
      <w:r>
        <w:rPr>
          <w:rFonts w:hint="eastAsia" w:ascii="Times New Roman" w:hAnsi="宋体" w:eastAsia="宋体" w:cs="宋体"/>
          <w:sz w:val="28"/>
          <w:szCs w:val="21"/>
          <w:lang w:eastAsia="zh-CN"/>
        </w:rPr>
        <w:t>的情况。</w:t>
      </w:r>
    </w:p>
    <w:p>
      <w:pPr>
        <w:spacing w:line="360" w:lineRule="auto"/>
        <w:ind w:firstLine="560" w:firstLineChars="200"/>
        <w:jc w:val="left"/>
        <w:rPr>
          <w:rFonts w:ascii="Times New Roman" w:eastAsia="宋体"/>
          <w:sz w:val="28"/>
        </w:rPr>
      </w:pPr>
      <w:r>
        <w:rPr>
          <w:rFonts w:hint="eastAsia" w:ascii="Times New Roman" w:hAnsi="宋体" w:eastAsia="宋体" w:cs="宋体"/>
          <w:sz w:val="28"/>
          <w:szCs w:val="21"/>
        </w:rPr>
        <w:t>2022年度，县卫生健康局在全县医疗机构现持有PCR上岗证专业技术人员40名的基础上，再组织医疗机构检验相关专业人员20名参加省市组织的2022年第二期PCR上岗证培训，进一步充实核酸检测技术人员队伍。此项得3分。</w:t>
      </w:r>
    </w:p>
    <w:p>
      <w:pPr>
        <w:spacing w:line="360" w:lineRule="auto"/>
        <w:ind w:firstLine="560" w:firstLineChars="200"/>
        <w:jc w:val="left"/>
        <w:outlineLvl w:val="2"/>
        <w:rPr>
          <w:rFonts w:ascii="Times New Roman" w:eastAsia="宋体"/>
          <w:sz w:val="28"/>
        </w:rPr>
      </w:pPr>
      <w:bookmarkStart w:id="97" w:name="_Toc4444"/>
      <w:bookmarkStart w:id="98" w:name="_Toc13693"/>
      <w:r>
        <w:rPr>
          <w:rFonts w:hint="eastAsia" w:ascii="Times New Roman" w:eastAsia="宋体"/>
          <w:sz w:val="28"/>
        </w:rPr>
        <w:t>（3）疫情防控资金补助乡镇数（分值3分）</w:t>
      </w:r>
      <w:bookmarkEnd w:id="97"/>
      <w:bookmarkEnd w:id="98"/>
    </w:p>
    <w:p>
      <w:pPr>
        <w:spacing w:line="360" w:lineRule="auto"/>
        <w:ind w:firstLine="560" w:firstLineChars="200"/>
        <w:jc w:val="left"/>
        <w:rPr>
          <w:rFonts w:ascii="Times New Roman" w:eastAsia="宋体"/>
          <w:sz w:val="28"/>
        </w:rPr>
      </w:pPr>
      <w:r>
        <w:rPr>
          <w:rFonts w:hint="eastAsia" w:ascii="Times New Roman" w:eastAsia="宋体"/>
          <w:sz w:val="28"/>
        </w:rPr>
        <w:t>疫情防控资金补助乡镇数用于评价是否按照财政要求对18乡镇进行疫情防控资金补助。</w:t>
      </w:r>
    </w:p>
    <w:p>
      <w:pPr>
        <w:spacing w:line="360" w:lineRule="auto"/>
        <w:ind w:firstLine="560" w:firstLineChars="200"/>
        <w:jc w:val="left"/>
        <w:rPr>
          <w:rFonts w:ascii="Times New Roman" w:eastAsia="宋体"/>
          <w:sz w:val="28"/>
        </w:rPr>
      </w:pPr>
      <w:r>
        <w:rPr>
          <w:rFonts w:hint="eastAsia" w:ascii="Times New Roman" w:eastAsia="宋体"/>
          <w:sz w:val="28"/>
        </w:rPr>
        <w:t>2022年度补助18个乡镇，共下拨资金379万元。其中，龙浔镇68.5万，浔中镇73万，盖德镇19.2万 ，三班镇31.8万，龙门滩镇15.6万，雷峰镇17.2万，南埕镇13.6万，水口镇16.8万，杨梅乡9.6万，葛坑镇15.6万，汤头乡9.6万，桂阳乡11.2万，上涌镇19.6万，赤水镇16万，国宝乡10.4万，美湖镇12.4万，大铭乡9.6万，春美乡9.6万。根据评分标准，该指标得3分。</w:t>
      </w:r>
    </w:p>
    <w:p>
      <w:pPr>
        <w:numPr>
          <w:ilvl w:val="0"/>
          <w:numId w:val="6"/>
        </w:numPr>
        <w:spacing w:line="360" w:lineRule="auto"/>
        <w:ind w:firstLine="560" w:firstLineChars="200"/>
        <w:jc w:val="left"/>
        <w:outlineLvl w:val="2"/>
        <w:rPr>
          <w:rFonts w:ascii="Times New Roman" w:eastAsia="宋体"/>
          <w:sz w:val="28"/>
        </w:rPr>
      </w:pPr>
      <w:bookmarkStart w:id="99" w:name="_Toc3816"/>
      <w:bookmarkStart w:id="100" w:name="_Toc10214"/>
      <w:r>
        <w:rPr>
          <w:rFonts w:hint="eastAsia" w:ascii="Times New Roman" w:eastAsia="宋体"/>
          <w:sz w:val="28"/>
        </w:rPr>
        <w:t>村社区补助数（分值3分）</w:t>
      </w:r>
      <w:bookmarkEnd w:id="99"/>
      <w:bookmarkEnd w:id="100"/>
    </w:p>
    <w:p>
      <w:pPr>
        <w:spacing w:line="360" w:lineRule="auto"/>
        <w:ind w:firstLine="560" w:firstLineChars="200"/>
        <w:jc w:val="left"/>
        <w:rPr>
          <w:rFonts w:hint="eastAsia" w:ascii="Times New Roman" w:eastAsia="宋体"/>
          <w:sz w:val="28"/>
          <w:lang w:val="en-US" w:eastAsia="zh-CN"/>
        </w:rPr>
      </w:pPr>
      <w:r>
        <w:rPr>
          <w:rFonts w:hint="eastAsia" w:ascii="Times New Roman" w:eastAsia="宋体"/>
          <w:sz w:val="28"/>
          <w:lang w:eastAsia="zh-CN"/>
        </w:rPr>
        <w:t>“</w:t>
      </w:r>
      <w:r>
        <w:rPr>
          <w:rFonts w:hint="eastAsia" w:ascii="Times New Roman" w:eastAsia="宋体"/>
          <w:sz w:val="28"/>
        </w:rPr>
        <w:t>村社区补助数</w:t>
      </w:r>
      <w:r>
        <w:rPr>
          <w:rFonts w:hint="eastAsia" w:ascii="Times New Roman" w:eastAsia="宋体"/>
          <w:sz w:val="28"/>
          <w:lang w:eastAsia="zh-CN"/>
        </w:rPr>
        <w:t>”</w:t>
      </w:r>
      <w:r>
        <w:rPr>
          <w:rFonts w:hint="eastAsia" w:ascii="Times New Roman" w:eastAsia="宋体"/>
          <w:sz w:val="28"/>
        </w:rPr>
        <w:t>用于评价是否按照财政要求对18乡镇的村（社区）进行疫情防控资金补助</w:t>
      </w:r>
      <w:r>
        <w:rPr>
          <w:rFonts w:hint="eastAsia" w:ascii="Times New Roman" w:eastAsia="宋体"/>
          <w:sz w:val="28"/>
          <w:lang w:val="en-US" w:eastAsia="zh-CN"/>
        </w:rPr>
        <w:t>情况。</w:t>
      </w:r>
    </w:p>
    <w:p>
      <w:pPr>
        <w:spacing w:line="360" w:lineRule="auto"/>
        <w:ind w:firstLine="560" w:firstLineChars="200"/>
        <w:jc w:val="left"/>
        <w:rPr>
          <w:rFonts w:ascii="Times New Roman" w:eastAsia="宋体"/>
          <w:sz w:val="28"/>
        </w:rPr>
      </w:pPr>
      <w:r>
        <w:rPr>
          <w:rFonts w:hint="eastAsia" w:ascii="Times New Roman" w:eastAsia="宋体"/>
          <w:sz w:val="28"/>
        </w:rPr>
        <w:t>2022年度补助村（社区）217个。其中，龙浔镇村社区19个，浔中镇22个，盖德镇14个 ，三班镇11个，龙门滩镇12个，雷峰镇14个， 南埕镇12个，水口镇16个，杨梅乡7个，葛坑镇12个，汤头乡7个，桂阳乡9个，上涌镇17个，赤水镇15个，国宝乡8个，美湖镇8个，大铭镇7个，春美乡7个。根据评分标准，该指标得3分。</w:t>
      </w:r>
    </w:p>
    <w:p>
      <w:pPr>
        <w:numPr>
          <w:ilvl w:val="0"/>
          <w:numId w:val="6"/>
        </w:numPr>
        <w:spacing w:line="360" w:lineRule="auto"/>
        <w:ind w:firstLine="560" w:firstLineChars="200"/>
        <w:jc w:val="left"/>
        <w:outlineLvl w:val="2"/>
        <w:rPr>
          <w:rFonts w:ascii="Times New Roman" w:eastAsia="宋体"/>
          <w:sz w:val="28"/>
        </w:rPr>
      </w:pPr>
      <w:bookmarkStart w:id="101" w:name="_Toc14175"/>
      <w:bookmarkStart w:id="102" w:name="_Toc30138"/>
      <w:r>
        <w:rPr>
          <w:rFonts w:hint="eastAsia" w:ascii="Times New Roman" w:eastAsia="宋体"/>
          <w:sz w:val="28"/>
        </w:rPr>
        <w:t>核酸检测点设立数量（分值为3分）</w:t>
      </w:r>
      <w:bookmarkEnd w:id="101"/>
      <w:bookmarkEnd w:id="102"/>
    </w:p>
    <w:p>
      <w:pPr>
        <w:spacing w:line="360" w:lineRule="auto"/>
        <w:ind w:firstLine="560" w:firstLineChars="200"/>
        <w:jc w:val="left"/>
        <w:rPr>
          <w:rFonts w:ascii="Times New Roman" w:eastAsia="宋体"/>
          <w:sz w:val="28"/>
        </w:rPr>
      </w:pPr>
      <w:r>
        <w:rPr>
          <w:rFonts w:hint="eastAsia" w:ascii="Times New Roman" w:eastAsia="宋体"/>
          <w:sz w:val="28"/>
          <w:lang w:eastAsia="zh-CN"/>
        </w:rPr>
        <w:t>“</w:t>
      </w:r>
      <w:r>
        <w:rPr>
          <w:rFonts w:hint="eastAsia" w:ascii="Times New Roman" w:eastAsia="宋体"/>
          <w:sz w:val="28"/>
        </w:rPr>
        <w:t>核酸检测点设立数量</w:t>
      </w:r>
      <w:r>
        <w:rPr>
          <w:rFonts w:hint="eastAsia" w:ascii="Times New Roman" w:eastAsia="宋体"/>
          <w:sz w:val="28"/>
          <w:lang w:eastAsia="zh-CN"/>
        </w:rPr>
        <w:t>”</w:t>
      </w:r>
      <w:r>
        <w:rPr>
          <w:rFonts w:hint="eastAsia" w:ascii="Times New Roman" w:eastAsia="宋体"/>
          <w:sz w:val="28"/>
        </w:rPr>
        <w:t>用于衡量德化县核酸检测点是否达到应设立数60个以上。</w:t>
      </w:r>
    </w:p>
    <w:p>
      <w:pPr>
        <w:spacing w:line="360" w:lineRule="auto"/>
        <w:ind w:firstLine="560" w:firstLineChars="200"/>
        <w:jc w:val="left"/>
        <w:rPr>
          <w:rFonts w:ascii="Times New Roman" w:eastAsia="宋体"/>
          <w:sz w:val="28"/>
        </w:rPr>
      </w:pPr>
      <w:r>
        <w:rPr>
          <w:rFonts w:ascii="Times New Roman" w:eastAsia="宋体"/>
          <w:sz w:val="28"/>
        </w:rPr>
        <w:t>据</w:t>
      </w:r>
      <w:r>
        <w:rPr>
          <w:rFonts w:hint="eastAsia" w:ascii="Times New Roman" w:eastAsia="宋体"/>
          <w:sz w:val="28"/>
        </w:rPr>
        <w:t>评价组</w:t>
      </w:r>
      <w:r>
        <w:rPr>
          <w:rFonts w:ascii="Times New Roman" w:eastAsia="宋体"/>
          <w:sz w:val="28"/>
        </w:rPr>
        <w:t>了解，</w:t>
      </w:r>
      <w:r>
        <w:rPr>
          <w:rFonts w:hint="eastAsia" w:ascii="Times New Roman" w:eastAsia="宋体"/>
          <w:sz w:val="28"/>
        </w:rPr>
        <w:t>2022年度德化县</w:t>
      </w:r>
      <w:r>
        <w:rPr>
          <w:rFonts w:ascii="Times New Roman" w:eastAsia="宋体"/>
          <w:sz w:val="28"/>
        </w:rPr>
        <w:t>龙浔、浔中两镇共设立核酸检测点66个，其他乡镇也根据需求设立核酸检测点，全力满足广大群众的核酸检测需求，有力保障我县人民生命安全和身体健康。</w:t>
      </w:r>
      <w:r>
        <w:rPr>
          <w:rFonts w:hint="eastAsia" w:ascii="Times New Roman" w:eastAsia="宋体"/>
          <w:sz w:val="28"/>
        </w:rPr>
        <w:t>根据评分标准，该</w:t>
      </w:r>
      <w:r>
        <w:rPr>
          <w:rFonts w:hint="eastAsia" w:ascii="Times New Roman" w:eastAsia="宋体"/>
          <w:sz w:val="28"/>
          <w:lang w:val="en-US" w:eastAsia="zh-CN"/>
        </w:rPr>
        <w:t>项</w:t>
      </w:r>
      <w:r>
        <w:rPr>
          <w:rFonts w:hint="eastAsia" w:ascii="Times New Roman" w:eastAsia="宋体"/>
          <w:sz w:val="28"/>
        </w:rPr>
        <w:t>得3分。</w:t>
      </w:r>
    </w:p>
    <w:p>
      <w:pPr>
        <w:spacing w:line="360" w:lineRule="auto"/>
        <w:jc w:val="left"/>
        <w:outlineLvl w:val="2"/>
        <w:rPr>
          <w:rFonts w:ascii="Times New Roman" w:eastAsia="宋体"/>
          <w:b/>
          <w:bCs/>
          <w:sz w:val="28"/>
        </w:rPr>
      </w:pPr>
      <w:bookmarkStart w:id="103" w:name="_Toc30931"/>
      <w:r>
        <w:rPr>
          <w:rFonts w:hint="eastAsia" w:ascii="Times New Roman" w:eastAsia="宋体"/>
          <w:b/>
          <w:bCs/>
          <w:sz w:val="28"/>
        </w:rPr>
        <w:t>2. 产出质量（分值12分）</w:t>
      </w:r>
      <w:bookmarkEnd w:id="103"/>
    </w:p>
    <w:p>
      <w:pPr>
        <w:spacing w:line="360" w:lineRule="auto"/>
        <w:ind w:firstLine="560" w:firstLineChars="200"/>
        <w:jc w:val="left"/>
        <w:outlineLvl w:val="2"/>
        <w:rPr>
          <w:rFonts w:ascii="Times New Roman" w:eastAsia="宋体"/>
          <w:sz w:val="28"/>
        </w:rPr>
      </w:pPr>
      <w:bookmarkStart w:id="104" w:name="_Toc1784"/>
      <w:bookmarkStart w:id="105" w:name="_Toc5498"/>
      <w:r>
        <w:rPr>
          <w:rFonts w:hint="eastAsia" w:ascii="Times New Roman" w:eastAsia="宋体"/>
          <w:sz w:val="28"/>
        </w:rPr>
        <w:t>（1）摸底排查情况（分值3分）</w:t>
      </w:r>
      <w:bookmarkEnd w:id="104"/>
      <w:bookmarkEnd w:id="105"/>
    </w:p>
    <w:p>
      <w:pPr>
        <w:spacing w:line="360" w:lineRule="auto"/>
        <w:ind w:firstLine="560" w:firstLineChars="200"/>
        <w:jc w:val="left"/>
        <w:rPr>
          <w:rFonts w:ascii="Times New Roman" w:eastAsia="宋体"/>
          <w:sz w:val="28"/>
        </w:rPr>
      </w:pPr>
      <w:r>
        <w:rPr>
          <w:rFonts w:hint="eastAsia" w:ascii="Times New Roman" w:eastAsia="宋体"/>
          <w:sz w:val="28"/>
        </w:rPr>
        <w:t>“摸底排查情况”用于衡量疫情期间各乡镇落实网格化动态管理</w:t>
      </w:r>
      <w:r>
        <w:rPr>
          <w:rFonts w:hint="eastAsia" w:ascii="Times New Roman" w:eastAsia="宋体"/>
          <w:sz w:val="28"/>
          <w:lang w:val="en-US" w:eastAsia="zh-CN"/>
        </w:rPr>
        <w:t>的覆盖情况</w:t>
      </w:r>
      <w:r>
        <w:rPr>
          <w:rFonts w:hint="eastAsia" w:ascii="Times New Roman" w:eastAsia="宋体"/>
          <w:sz w:val="28"/>
        </w:rPr>
        <w:t>。</w:t>
      </w:r>
    </w:p>
    <w:p>
      <w:pPr>
        <w:spacing w:line="360" w:lineRule="auto"/>
        <w:ind w:firstLine="560" w:firstLineChars="200"/>
        <w:jc w:val="left"/>
        <w:rPr>
          <w:rFonts w:ascii="Times New Roman" w:eastAsia="宋体"/>
          <w:sz w:val="28"/>
        </w:rPr>
      </w:pPr>
      <w:r>
        <w:rPr>
          <w:rFonts w:hint="eastAsia" w:ascii="Times New Roman" w:eastAsia="宋体"/>
          <w:sz w:val="28"/>
        </w:rPr>
        <w:t>2022</w:t>
      </w:r>
      <w:r>
        <w:rPr>
          <w:rFonts w:hint="eastAsia" w:ascii="Times New Roman" w:eastAsia="宋体"/>
          <w:sz w:val="28"/>
          <w:lang w:eastAsia="zh-CN"/>
        </w:rPr>
        <w:t>年</w:t>
      </w:r>
      <w:r>
        <w:rPr>
          <w:rFonts w:hint="eastAsia" w:ascii="Times New Roman" w:eastAsia="宋体"/>
          <w:sz w:val="28"/>
        </w:rPr>
        <w:t>，各乡镇实行挂片领导包村，驻村工作队、村主干包组，村两委成员包户（包人）的工作机制。如，盖德镇14个村党支部迅速行动，开展“横向到边、纵向到底”摸底排查3000多人次，做到行动快、底数清、情况明、管控严，确保“不漏一户、不漏一人”，筑牢防疫堡垒。三班镇将全镇11个村（社区）划分为32个网格片区，整合县派干部、后勤人员、驻村工作队、联防队、村两委、网格员等140多人下沉一线进村入户、进厂入企进行摸排，累计摸排楼栋3259栋，共计19373人。龙浔镇10个封控区上门核酸累计1.1万人次，封控区内核酸检测率100%。大力开展“清街、扫楼、补网”专项行动，出动县派干部、村两委、镇干部职工、网格员、民警等1004名，通过数据补网、网格补网进行全面清仓见底排查，累计摸排房屋4728栋，摸排人员138469人。龙门滩镇组织村防疫专员加大自主摸排力度，通过微信群告知拟返乡群众主动报备，组织村两委加大回村巡察频次，努力及时发现重点地区入（返）德人员。但是也存在人员摸排不够精准</w:t>
      </w:r>
      <w:r>
        <w:rPr>
          <w:rFonts w:hint="eastAsia" w:ascii="Times New Roman" w:eastAsia="宋体"/>
          <w:sz w:val="28"/>
          <w:lang w:val="en-US" w:eastAsia="zh-CN"/>
        </w:rPr>
        <w:t>的情况。如龙门滩镇提出疫情期间，</w:t>
      </w:r>
      <w:r>
        <w:rPr>
          <w:rFonts w:hint="eastAsia" w:ascii="Times New Roman" w:eastAsia="宋体"/>
          <w:sz w:val="28"/>
        </w:rPr>
        <w:t>微信通知存在滞后性和覆盖面不够广的情况，存在自主摸排不够及时，人员摸排不够精准的情况。此项扣1分，得2分。</w:t>
      </w:r>
    </w:p>
    <w:p>
      <w:pPr>
        <w:spacing w:line="360" w:lineRule="auto"/>
        <w:ind w:firstLine="560" w:firstLineChars="200"/>
        <w:jc w:val="left"/>
        <w:outlineLvl w:val="2"/>
        <w:rPr>
          <w:rFonts w:ascii="Times New Roman" w:eastAsia="宋体"/>
          <w:sz w:val="28"/>
        </w:rPr>
      </w:pPr>
      <w:bookmarkStart w:id="106" w:name="_Toc22566"/>
      <w:bookmarkStart w:id="107" w:name="_Toc16044"/>
      <w:r>
        <w:rPr>
          <w:rFonts w:hint="eastAsia" w:ascii="Times New Roman" w:eastAsia="宋体"/>
          <w:sz w:val="28"/>
        </w:rPr>
        <w:t>（2）合同规范性（分值3分）</w:t>
      </w:r>
      <w:bookmarkEnd w:id="106"/>
      <w:bookmarkEnd w:id="107"/>
    </w:p>
    <w:p>
      <w:pPr>
        <w:spacing w:line="360" w:lineRule="auto"/>
        <w:ind w:firstLine="560" w:firstLineChars="200"/>
        <w:jc w:val="left"/>
        <w:rPr>
          <w:rFonts w:ascii="Times New Roman" w:eastAsia="宋体"/>
          <w:sz w:val="28"/>
        </w:rPr>
      </w:pPr>
      <w:r>
        <w:rPr>
          <w:rFonts w:hint="eastAsia" w:ascii="Times New Roman" w:eastAsia="宋体"/>
          <w:sz w:val="28"/>
        </w:rPr>
        <w:t>“合同规范性”用于衡量疫情防控经费支出的合同签订是否规范。</w:t>
      </w:r>
    </w:p>
    <w:p>
      <w:pPr>
        <w:spacing w:line="360" w:lineRule="auto"/>
        <w:ind w:firstLine="560" w:firstLineChars="200"/>
        <w:jc w:val="left"/>
        <w:rPr>
          <w:rFonts w:ascii="Times New Roman" w:eastAsia="宋体"/>
          <w:sz w:val="28"/>
        </w:rPr>
      </w:pPr>
      <w:r>
        <w:rPr>
          <w:rFonts w:hint="eastAsia" w:ascii="Times New Roman" w:eastAsia="宋体"/>
          <w:sz w:val="28"/>
          <w:lang w:val="en-US" w:eastAsia="zh-CN"/>
        </w:rPr>
        <w:t>评价组在检查合同时发现部分采购合同不够规范。</w:t>
      </w:r>
      <w:r>
        <w:rPr>
          <w:rFonts w:hint="eastAsia" w:ascii="Times New Roman" w:eastAsia="宋体"/>
          <w:sz w:val="28"/>
        </w:rPr>
        <w:t>如，三班镇疫情期间电脑等办公设备租赁没有签订合同。龙浔镇存在部分合同、验收单没盖章签字。此项扣2分，得1分。</w:t>
      </w:r>
    </w:p>
    <w:p>
      <w:pPr>
        <w:spacing w:line="360" w:lineRule="auto"/>
        <w:ind w:firstLine="560" w:firstLineChars="200"/>
        <w:jc w:val="left"/>
        <w:outlineLvl w:val="2"/>
        <w:rPr>
          <w:rFonts w:ascii="Times New Roman" w:eastAsia="宋体"/>
          <w:sz w:val="28"/>
        </w:rPr>
      </w:pPr>
      <w:bookmarkStart w:id="108" w:name="_Toc14296"/>
      <w:bookmarkStart w:id="109" w:name="_Toc21322"/>
      <w:r>
        <w:rPr>
          <w:rFonts w:hint="eastAsia" w:ascii="Times New Roman" w:eastAsia="宋体"/>
          <w:sz w:val="28"/>
        </w:rPr>
        <w:t>（3）申请与审批流程效率（分值3分）</w:t>
      </w:r>
      <w:bookmarkEnd w:id="108"/>
      <w:bookmarkEnd w:id="109"/>
    </w:p>
    <w:p>
      <w:pPr>
        <w:spacing w:line="360" w:lineRule="auto"/>
        <w:ind w:firstLine="560" w:firstLineChars="200"/>
        <w:jc w:val="left"/>
        <w:rPr>
          <w:rFonts w:ascii="Times New Roman" w:eastAsia="宋体"/>
          <w:sz w:val="28"/>
        </w:rPr>
      </w:pPr>
      <w:r>
        <w:rPr>
          <w:rFonts w:hint="eastAsia" w:ascii="Times New Roman" w:eastAsia="宋体"/>
          <w:sz w:val="28"/>
          <w:lang w:val="en-US" w:eastAsia="zh-CN"/>
        </w:rPr>
        <w:t>经评价组调研，德化县</w:t>
      </w:r>
      <w:r>
        <w:rPr>
          <w:rFonts w:hint="eastAsia" w:ascii="Times New Roman" w:eastAsia="宋体"/>
          <w:sz w:val="28"/>
        </w:rPr>
        <w:t>疫情防控专项资金原则上采取先预拨后结算方式。县财政和卫健部门在收到上级补助资金后，按程序将资金及时拨付到项目单位，并建立资金使用和安排等情况的定期反馈机制。财政部门根据“急事急办、特事特办”的原则，先行预拨资金，资金采取授权支付或实拨方式拨付。对参加防治工作的医务人员和防疫工作者发放临时性工作补助，由卫健部门按规定落实一线医务人员特殊临时性工作补助，保证补助及时兑现</w:t>
      </w:r>
      <w:r>
        <w:rPr>
          <w:rFonts w:hint="eastAsia" w:ascii="Times New Roman" w:eastAsia="宋体"/>
          <w:sz w:val="28"/>
          <w:lang w:eastAsia="zh-CN"/>
        </w:rPr>
        <w:t>。</w:t>
      </w:r>
      <w:r>
        <w:rPr>
          <w:rFonts w:hint="eastAsia" w:ascii="Times New Roman" w:eastAsia="宋体"/>
          <w:sz w:val="28"/>
          <w:lang w:val="en-US" w:eastAsia="zh-CN"/>
        </w:rPr>
        <w:t>但是也存在部门乡镇经费补助未附会议纪要情况。如检查</w:t>
      </w:r>
      <w:r>
        <w:rPr>
          <w:rFonts w:hint="eastAsia" w:ascii="Times New Roman" w:eastAsia="宋体"/>
          <w:sz w:val="28"/>
        </w:rPr>
        <w:t>龙门滩、盖德镇下拨村社区费用，村社区没有发票、收据或者申请报告，</w:t>
      </w:r>
      <w:r>
        <w:rPr>
          <w:rFonts w:hint="eastAsia" w:ascii="Times New Roman" w:eastAsia="宋体"/>
          <w:sz w:val="28"/>
          <w:lang w:val="en-US" w:eastAsia="zh-CN"/>
        </w:rPr>
        <w:t>也未附</w:t>
      </w:r>
      <w:r>
        <w:rPr>
          <w:rFonts w:hint="eastAsia" w:ascii="Times New Roman" w:eastAsia="宋体"/>
          <w:sz w:val="28"/>
        </w:rPr>
        <w:t>会议</w:t>
      </w:r>
      <w:r>
        <w:rPr>
          <w:rFonts w:hint="eastAsia" w:ascii="Times New Roman" w:eastAsia="宋体"/>
          <w:sz w:val="28"/>
          <w:lang w:val="en-US" w:eastAsia="zh-CN"/>
        </w:rPr>
        <w:t>纪要和</w:t>
      </w:r>
      <w:r>
        <w:rPr>
          <w:rFonts w:hint="eastAsia" w:ascii="Times New Roman" w:eastAsia="宋体"/>
          <w:sz w:val="28"/>
        </w:rPr>
        <w:t>拨款的</w:t>
      </w:r>
      <w:r>
        <w:rPr>
          <w:rFonts w:hint="eastAsia" w:ascii="Times New Roman" w:eastAsia="宋体"/>
          <w:sz w:val="28"/>
          <w:lang w:val="en-US" w:eastAsia="zh-CN"/>
        </w:rPr>
        <w:t>相关</w:t>
      </w:r>
      <w:r>
        <w:rPr>
          <w:rFonts w:hint="eastAsia" w:ascii="Times New Roman" w:eastAsia="宋体"/>
          <w:sz w:val="28"/>
        </w:rPr>
        <w:t>文件依据。此项扣1分，得2分。</w:t>
      </w:r>
    </w:p>
    <w:p>
      <w:pPr>
        <w:spacing w:line="360" w:lineRule="auto"/>
        <w:ind w:firstLine="560" w:firstLineChars="200"/>
        <w:jc w:val="left"/>
        <w:outlineLvl w:val="2"/>
        <w:rPr>
          <w:rFonts w:ascii="Times New Roman" w:eastAsia="宋体"/>
          <w:sz w:val="28"/>
        </w:rPr>
      </w:pPr>
      <w:bookmarkStart w:id="110" w:name="_Toc22373"/>
      <w:bookmarkStart w:id="111" w:name="_Toc10451"/>
      <w:r>
        <w:rPr>
          <w:rFonts w:hint="eastAsia" w:ascii="Times New Roman" w:eastAsia="宋体"/>
          <w:sz w:val="28"/>
        </w:rPr>
        <w:t>（4）物资储备充足性（分值 3分）</w:t>
      </w:r>
      <w:bookmarkEnd w:id="110"/>
      <w:bookmarkEnd w:id="111"/>
      <w:r>
        <w:rPr>
          <w:rFonts w:hint="eastAsia" w:ascii="Times New Roman" w:eastAsia="宋体"/>
          <w:sz w:val="28"/>
        </w:rPr>
        <w:t xml:space="preserve"> </w:t>
      </w:r>
    </w:p>
    <w:p>
      <w:pPr>
        <w:spacing w:line="360" w:lineRule="auto"/>
        <w:ind w:firstLine="560" w:firstLineChars="200"/>
        <w:jc w:val="left"/>
        <w:rPr>
          <w:rFonts w:hint="default" w:ascii="Times New Roman" w:eastAsia="宋体"/>
          <w:sz w:val="28"/>
          <w:lang w:val="en-US" w:eastAsia="zh-CN"/>
        </w:rPr>
      </w:pPr>
      <w:r>
        <w:rPr>
          <w:rFonts w:hint="eastAsia" w:ascii="Times New Roman" w:eastAsia="宋体"/>
          <w:sz w:val="28"/>
          <w:lang w:eastAsia="zh-CN"/>
        </w:rPr>
        <w:t>“</w:t>
      </w:r>
      <w:r>
        <w:rPr>
          <w:rFonts w:hint="eastAsia" w:ascii="Times New Roman" w:eastAsia="宋体"/>
          <w:sz w:val="28"/>
        </w:rPr>
        <w:t>物资储备充足性</w:t>
      </w:r>
      <w:r>
        <w:rPr>
          <w:rFonts w:hint="eastAsia" w:ascii="Times New Roman" w:eastAsia="宋体"/>
          <w:sz w:val="28"/>
          <w:lang w:eastAsia="zh-CN"/>
        </w:rPr>
        <w:t>”</w:t>
      </w:r>
      <w:r>
        <w:rPr>
          <w:rFonts w:hint="eastAsia" w:ascii="Times New Roman" w:eastAsia="宋体"/>
          <w:sz w:val="28"/>
          <w:lang w:val="en-US" w:eastAsia="zh-CN"/>
        </w:rPr>
        <w:t>用于评价疫情期间防疫</w:t>
      </w:r>
      <w:r>
        <w:rPr>
          <w:rFonts w:hint="eastAsia" w:ascii="Times New Roman" w:eastAsia="宋体"/>
          <w:sz w:val="28"/>
        </w:rPr>
        <w:t>物资储备</w:t>
      </w:r>
      <w:r>
        <w:rPr>
          <w:rFonts w:hint="eastAsia" w:ascii="Times New Roman" w:eastAsia="宋体"/>
          <w:sz w:val="28"/>
          <w:lang w:val="en-US" w:eastAsia="zh-CN"/>
        </w:rPr>
        <w:t>是否充足。</w:t>
      </w:r>
    </w:p>
    <w:p>
      <w:pPr>
        <w:spacing w:line="360" w:lineRule="auto"/>
        <w:ind w:firstLine="560" w:firstLineChars="200"/>
        <w:jc w:val="left"/>
        <w:rPr>
          <w:rFonts w:ascii="Times New Roman" w:eastAsia="宋体"/>
          <w:sz w:val="28"/>
        </w:rPr>
      </w:pPr>
      <w:r>
        <w:rPr>
          <w:rFonts w:hint="eastAsia" w:ascii="Times New Roman" w:eastAsia="宋体"/>
          <w:sz w:val="28"/>
        </w:rPr>
        <w:t>绩效评价工作小组调查了解，</w:t>
      </w:r>
      <w:r>
        <w:rPr>
          <w:rFonts w:hint="eastAsia" w:ascii="Times New Roman" w:eastAsia="宋体"/>
          <w:sz w:val="28"/>
          <w:lang w:val="en-US" w:eastAsia="zh-CN"/>
        </w:rPr>
        <w:t>多个乡镇存在</w:t>
      </w:r>
      <w:r>
        <w:rPr>
          <w:rFonts w:hint="eastAsia" w:ascii="Times New Roman" w:eastAsia="宋体"/>
          <w:sz w:val="28"/>
        </w:rPr>
        <w:t>物资储备如医用酒精、消毒液、紫外线消毒灯等紧缺，专业防护服不够，设备消毒物资储备不足，需要临时采购物资</w:t>
      </w:r>
      <w:r>
        <w:rPr>
          <w:rFonts w:hint="eastAsia" w:ascii="Times New Roman" w:eastAsia="宋体"/>
          <w:sz w:val="28"/>
          <w:lang w:val="en-US" w:eastAsia="zh-CN"/>
        </w:rPr>
        <w:t>的情况</w:t>
      </w:r>
      <w:r>
        <w:rPr>
          <w:rFonts w:hint="eastAsia" w:ascii="Times New Roman" w:eastAsia="宋体"/>
          <w:sz w:val="28"/>
        </w:rPr>
        <w:t>。此项扣1分，得2分</w:t>
      </w:r>
    </w:p>
    <w:p>
      <w:pPr>
        <w:spacing w:line="360" w:lineRule="auto"/>
        <w:jc w:val="left"/>
        <w:outlineLvl w:val="2"/>
        <w:rPr>
          <w:rFonts w:ascii="Times New Roman" w:eastAsia="宋体"/>
          <w:b/>
          <w:bCs/>
          <w:sz w:val="28"/>
        </w:rPr>
      </w:pPr>
      <w:bookmarkStart w:id="112" w:name="_Toc21435"/>
      <w:r>
        <w:rPr>
          <w:rFonts w:hint="eastAsia" w:ascii="Times New Roman" w:eastAsia="宋体"/>
          <w:b/>
          <w:bCs/>
          <w:sz w:val="28"/>
        </w:rPr>
        <w:t>3. 产出时效（分值4分）</w:t>
      </w:r>
      <w:bookmarkEnd w:id="112"/>
    </w:p>
    <w:p>
      <w:pPr>
        <w:spacing w:line="360" w:lineRule="auto"/>
        <w:ind w:firstLine="560" w:firstLineChars="200"/>
        <w:jc w:val="left"/>
        <w:rPr>
          <w:rFonts w:ascii="Times New Roman" w:eastAsia="宋体"/>
          <w:sz w:val="28"/>
        </w:rPr>
      </w:pPr>
      <w:r>
        <w:rPr>
          <w:rFonts w:hint="eastAsia" w:ascii="Times New Roman" w:eastAsia="宋体"/>
          <w:sz w:val="28"/>
        </w:rPr>
        <w:t>产出时效通过</w:t>
      </w:r>
      <w:r>
        <w:rPr>
          <w:rFonts w:hint="eastAsia" w:ascii="Times New Roman" w:eastAsia="宋体"/>
          <w:sz w:val="28"/>
          <w:lang w:eastAsia="zh-CN"/>
        </w:rPr>
        <w:t>“</w:t>
      </w:r>
      <w:r>
        <w:rPr>
          <w:rFonts w:hint="eastAsia" w:ascii="Times New Roman" w:eastAsia="宋体"/>
          <w:sz w:val="28"/>
        </w:rPr>
        <w:t>补助及时发放率</w:t>
      </w:r>
      <w:r>
        <w:rPr>
          <w:rFonts w:hint="eastAsia" w:ascii="Times New Roman" w:eastAsia="宋体"/>
          <w:sz w:val="28"/>
          <w:lang w:eastAsia="zh-CN"/>
        </w:rPr>
        <w:t>”</w:t>
      </w:r>
      <w:r>
        <w:rPr>
          <w:rFonts w:hint="eastAsia" w:ascii="Times New Roman" w:eastAsia="宋体"/>
          <w:sz w:val="28"/>
        </w:rPr>
        <w:t>三级指标进行评价。旨在通过项目及时完成数量与计划完成发放资金数量的比较，用以反映和考核时效目标的实现程度。评分标准为“补助及时发放率=100%</w:t>
      </w:r>
      <w:r>
        <w:rPr>
          <w:rFonts w:hint="eastAsia" w:ascii="Times New Roman" w:eastAsia="宋体"/>
          <w:sz w:val="28"/>
          <w:lang w:eastAsia="zh-CN"/>
        </w:rPr>
        <w:t>（</w:t>
      </w:r>
      <w:r>
        <w:rPr>
          <w:rFonts w:hint="eastAsia" w:ascii="Times New Roman" w:eastAsia="宋体"/>
          <w:sz w:val="28"/>
          <w:lang w:val="en-US" w:eastAsia="zh-CN"/>
        </w:rPr>
        <w:t>4分）；</w:t>
      </w:r>
      <w:r>
        <w:rPr>
          <w:rFonts w:hint="eastAsia" w:ascii="Times New Roman" w:eastAsia="宋体"/>
          <w:sz w:val="28"/>
        </w:rPr>
        <w:t xml:space="preserve">95%≤补助及时发放率＜100%（3分）；90%≤补助及时发放率＜95%（2分）；补助及时发放率＜90%（1分），90%以下不得分”。 </w:t>
      </w:r>
    </w:p>
    <w:p>
      <w:pPr>
        <w:spacing w:line="360" w:lineRule="auto"/>
        <w:ind w:firstLine="560" w:firstLineChars="200"/>
        <w:jc w:val="left"/>
        <w:rPr>
          <w:rFonts w:hint="eastAsia" w:ascii="Times New Roman" w:eastAsia="宋体"/>
          <w:sz w:val="28"/>
          <w:lang w:eastAsia="zh-CN"/>
        </w:rPr>
      </w:pPr>
      <w:r>
        <w:rPr>
          <w:rFonts w:hint="eastAsia" w:ascii="Times New Roman" w:eastAsia="宋体"/>
          <w:sz w:val="28"/>
          <w:lang w:val="en-US" w:eastAsia="zh-CN"/>
        </w:rPr>
        <w:t>经评价组调研，2022年度</w:t>
      </w:r>
      <w:r>
        <w:rPr>
          <w:rFonts w:hint="eastAsia" w:ascii="Times New Roman" w:eastAsia="宋体"/>
          <w:sz w:val="28"/>
        </w:rPr>
        <w:t>德化县卫生健康局疫情防控资金补助</w:t>
      </w:r>
      <w:r>
        <w:rPr>
          <w:rFonts w:hint="eastAsia" w:ascii="Times New Roman" w:eastAsia="宋体"/>
          <w:sz w:val="28"/>
          <w:lang w:val="en-US" w:eastAsia="zh-CN"/>
        </w:rPr>
        <w:t>按时发放到各单位，</w:t>
      </w:r>
      <w:r>
        <w:rPr>
          <w:rFonts w:hint="eastAsia" w:ascii="Times New Roman" w:eastAsia="宋体"/>
          <w:sz w:val="28"/>
        </w:rPr>
        <w:t>发放率100%。</w:t>
      </w:r>
      <w:r>
        <w:rPr>
          <w:rFonts w:hint="eastAsia" w:ascii="Times New Roman" w:eastAsia="宋体"/>
          <w:sz w:val="28"/>
          <w:lang w:val="en-US" w:eastAsia="zh-CN"/>
        </w:rPr>
        <w:t>根据评分标准，此</w:t>
      </w:r>
      <w:r>
        <w:rPr>
          <w:rFonts w:hint="eastAsia" w:ascii="Times New Roman" w:eastAsia="宋体"/>
          <w:sz w:val="28"/>
        </w:rPr>
        <w:t>项得分4分</w:t>
      </w:r>
      <w:r>
        <w:rPr>
          <w:rFonts w:hint="eastAsia" w:ascii="Times New Roman" w:eastAsia="宋体"/>
          <w:sz w:val="28"/>
          <w:lang w:eastAsia="zh-CN"/>
        </w:rPr>
        <w:t>。</w:t>
      </w:r>
    </w:p>
    <w:p>
      <w:pPr>
        <w:spacing w:line="360" w:lineRule="auto"/>
        <w:jc w:val="left"/>
        <w:outlineLvl w:val="2"/>
        <w:rPr>
          <w:rFonts w:ascii="Times New Roman" w:eastAsia="宋体"/>
          <w:b/>
          <w:bCs/>
          <w:sz w:val="28"/>
        </w:rPr>
      </w:pPr>
      <w:bookmarkStart w:id="113" w:name="_Toc6455"/>
      <w:r>
        <w:rPr>
          <w:rFonts w:hint="eastAsia" w:ascii="Times New Roman" w:eastAsia="宋体"/>
          <w:b/>
          <w:bCs/>
          <w:sz w:val="28"/>
        </w:rPr>
        <w:t>4. 产出成本（分值4分）</w:t>
      </w:r>
      <w:bookmarkEnd w:id="113"/>
    </w:p>
    <w:p>
      <w:pPr>
        <w:widowControl/>
        <w:spacing w:line="360" w:lineRule="auto"/>
        <w:ind w:firstLine="560" w:firstLineChars="200"/>
        <w:jc w:val="left"/>
        <w:rPr>
          <w:rFonts w:ascii="Times New Roman" w:hAnsi="宋体" w:eastAsia="宋体" w:cs="宋体"/>
          <w:sz w:val="28"/>
          <w:szCs w:val="21"/>
        </w:rPr>
      </w:pPr>
      <w:r>
        <w:rPr>
          <w:rFonts w:hint="eastAsia" w:ascii="Times New Roman" w:eastAsia="宋体"/>
          <w:sz w:val="28"/>
        </w:rPr>
        <w:t>产出成本通过</w:t>
      </w:r>
      <w:r>
        <w:rPr>
          <w:rFonts w:hint="eastAsia" w:ascii="Times New Roman" w:eastAsia="宋体"/>
          <w:sz w:val="28"/>
          <w:lang w:eastAsia="zh-CN"/>
        </w:rPr>
        <w:t>“</w:t>
      </w:r>
      <w:r>
        <w:rPr>
          <w:rFonts w:hint="eastAsia" w:ascii="Times New Roman" w:hAnsi="宋体" w:eastAsia="宋体" w:cs="宋体"/>
          <w:kern w:val="0"/>
          <w:sz w:val="28"/>
          <w:szCs w:val="21"/>
          <w:lang w:bidi="ar"/>
        </w:rPr>
        <w:t>成本控制率</w:t>
      </w:r>
      <w:r>
        <w:rPr>
          <w:rFonts w:hint="eastAsia" w:ascii="Times New Roman" w:eastAsia="宋体"/>
          <w:sz w:val="28"/>
          <w:lang w:eastAsia="zh-CN"/>
        </w:rPr>
        <w:t>”</w:t>
      </w:r>
      <w:r>
        <w:rPr>
          <w:rFonts w:hint="eastAsia" w:ascii="Times New Roman" w:eastAsia="宋体"/>
          <w:sz w:val="28"/>
        </w:rPr>
        <w:t>三级指标进行评价。</w:t>
      </w:r>
      <w:r>
        <w:rPr>
          <w:rFonts w:hint="eastAsia" w:ascii="Times New Roman" w:hAnsi="宋体" w:eastAsia="宋体" w:cs="宋体"/>
          <w:kern w:val="0"/>
          <w:sz w:val="28"/>
          <w:szCs w:val="21"/>
          <w:lang w:bidi="ar"/>
        </w:rPr>
        <w:t>成本控制率＝截至年末累计支出数/概算或当年度预算×100%。评分标准为 “成本控制率≦100</w:t>
      </w:r>
      <w:r>
        <w:rPr>
          <w:rFonts w:hint="eastAsia" w:ascii="Times New Roman" w:hAnsi="宋体" w:eastAsia="宋体" w:cs="宋体"/>
          <w:kern w:val="0"/>
          <w:sz w:val="28"/>
          <w:szCs w:val="21"/>
          <w:lang w:eastAsia="zh-CN" w:bidi="ar"/>
        </w:rPr>
        <w:t>的</w:t>
      </w:r>
      <w:r>
        <w:rPr>
          <w:rFonts w:hint="eastAsia" w:ascii="Times New Roman" w:hAnsi="宋体" w:eastAsia="宋体" w:cs="宋体"/>
          <w:kern w:val="0"/>
          <w:sz w:val="28"/>
          <w:szCs w:val="21"/>
          <w:lang w:bidi="ar"/>
        </w:rPr>
        <w:t xml:space="preserve">满分，每超 5%扣1分，扣完为止”。 </w:t>
      </w:r>
    </w:p>
    <w:p>
      <w:pPr>
        <w:adjustRightInd w:val="0"/>
        <w:spacing w:line="360" w:lineRule="auto"/>
        <w:ind w:firstLine="560" w:firstLineChars="200"/>
        <w:jc w:val="left"/>
        <w:rPr>
          <w:rFonts w:ascii="Times New Roman" w:hAnsi="宋体" w:eastAsia="宋体" w:cs="宋体"/>
          <w:sz w:val="28"/>
          <w:szCs w:val="21"/>
        </w:rPr>
      </w:pPr>
      <w:r>
        <w:rPr>
          <w:rFonts w:hint="eastAsia" w:ascii="Times New Roman" w:hAnsi="宋体" w:eastAsia="宋体" w:cs="宋体"/>
          <w:kern w:val="0"/>
          <w:sz w:val="28"/>
          <w:szCs w:val="21"/>
          <w:lang w:bidi="ar"/>
        </w:rPr>
        <w:t>2022年度德化县疫情防控资金预算10027万元，实际</w:t>
      </w:r>
      <w:r>
        <w:rPr>
          <w:rFonts w:hint="eastAsia" w:ascii="Times New Roman" w:hAnsi="宋体" w:eastAsia="宋体" w:cs="宋体"/>
          <w:kern w:val="0"/>
          <w:sz w:val="28"/>
          <w:szCs w:val="21"/>
        </w:rPr>
        <w:t>县卫健局疫情防控财政补助资金列支9492.5万元，18个乡镇疫情防控财政补助资金列支379万元</w:t>
      </w:r>
      <w:r>
        <w:rPr>
          <w:rFonts w:hint="eastAsia" w:ascii="Times New Roman" w:hAnsi="宋体" w:eastAsia="宋体" w:cs="宋体"/>
          <w:kern w:val="0"/>
          <w:sz w:val="28"/>
          <w:szCs w:val="21"/>
          <w:lang w:eastAsia="zh-CN"/>
        </w:rPr>
        <w:t>，</w:t>
      </w:r>
      <w:r>
        <w:rPr>
          <w:rFonts w:hint="eastAsia" w:ascii="Times New Roman" w:hAnsi="宋体" w:eastAsia="宋体" w:cs="宋体"/>
          <w:kern w:val="0"/>
          <w:sz w:val="28"/>
          <w:szCs w:val="21"/>
        </w:rPr>
        <w:t>累计</w:t>
      </w:r>
      <w:r>
        <w:rPr>
          <w:rFonts w:hint="eastAsia" w:ascii="Times New Roman" w:hAnsi="宋体" w:eastAsia="宋体" w:cs="宋体"/>
          <w:kern w:val="0"/>
          <w:sz w:val="28"/>
          <w:szCs w:val="21"/>
          <w:lang w:bidi="ar"/>
        </w:rPr>
        <w:t>支出9871.5万元</w:t>
      </w:r>
      <w:r>
        <w:rPr>
          <w:rFonts w:hint="eastAsia" w:ascii="Times New Roman" w:hAnsi="宋体" w:eastAsia="宋体" w:cs="宋体"/>
          <w:kern w:val="0"/>
          <w:sz w:val="28"/>
          <w:szCs w:val="21"/>
          <w:lang w:eastAsia="zh-CN" w:bidi="ar"/>
        </w:rPr>
        <w:t>。</w:t>
      </w:r>
      <w:r>
        <w:rPr>
          <w:rFonts w:hint="eastAsia" w:ascii="Times New Roman" w:hAnsi="宋体" w:eastAsia="宋体" w:cs="宋体"/>
          <w:kern w:val="0"/>
          <w:sz w:val="28"/>
          <w:szCs w:val="21"/>
          <w:lang w:bidi="ar"/>
        </w:rPr>
        <w:t>成本控制率=9871.5/10027×100%=98%。本项得分4分。</w:t>
      </w:r>
    </w:p>
    <w:p>
      <w:pPr>
        <w:spacing w:before="156" w:beforeLines="50" w:line="360" w:lineRule="auto"/>
        <w:jc w:val="left"/>
        <w:outlineLvl w:val="1"/>
        <w:rPr>
          <w:rFonts w:ascii="Times New Roman" w:eastAsia="宋体"/>
          <w:b/>
          <w:bCs/>
          <w:sz w:val="30"/>
        </w:rPr>
      </w:pPr>
      <w:bookmarkStart w:id="114" w:name="_Toc30463"/>
      <w:r>
        <w:rPr>
          <w:rFonts w:hint="eastAsia" w:ascii="Times New Roman" w:eastAsia="宋体"/>
          <w:b/>
          <w:bCs/>
          <w:sz w:val="30"/>
        </w:rPr>
        <w:t>（四）效益指标（分值为30分，得分2</w:t>
      </w:r>
      <w:r>
        <w:rPr>
          <w:rFonts w:hint="eastAsia" w:ascii="Times New Roman" w:eastAsia="宋体"/>
          <w:b/>
          <w:bCs/>
          <w:sz w:val="30"/>
          <w:lang w:val="en-US" w:eastAsia="zh-CN"/>
        </w:rPr>
        <w:t>6</w:t>
      </w:r>
      <w:r>
        <w:rPr>
          <w:rFonts w:hint="eastAsia" w:ascii="Times New Roman" w:eastAsia="宋体"/>
          <w:b/>
          <w:bCs/>
          <w:sz w:val="30"/>
        </w:rPr>
        <w:t>分）</w:t>
      </w:r>
      <w:bookmarkEnd w:id="114"/>
    </w:p>
    <w:p>
      <w:pPr>
        <w:spacing w:line="360" w:lineRule="auto"/>
        <w:jc w:val="left"/>
        <w:outlineLvl w:val="2"/>
        <w:rPr>
          <w:rFonts w:hint="eastAsia" w:ascii="Times New Roman" w:eastAsia="宋体"/>
          <w:b/>
          <w:bCs/>
          <w:sz w:val="28"/>
        </w:rPr>
      </w:pPr>
      <w:bookmarkStart w:id="115" w:name="_Toc31198"/>
      <w:r>
        <w:rPr>
          <w:rFonts w:hint="eastAsia" w:ascii="Times New Roman" w:eastAsia="宋体"/>
          <w:b/>
          <w:bCs/>
          <w:sz w:val="28"/>
        </w:rPr>
        <w:t>1.经济效益（分值8分）</w:t>
      </w:r>
      <w:bookmarkEnd w:id="115"/>
    </w:p>
    <w:p>
      <w:pPr>
        <w:pStyle w:val="2"/>
        <w:rPr>
          <w:rFonts w:hint="default" w:eastAsia="宋体"/>
          <w:b w:val="0"/>
          <w:bCs w:val="0"/>
          <w:lang w:val="en-US" w:eastAsia="zh-CN"/>
        </w:rPr>
      </w:pPr>
      <w:r>
        <w:rPr>
          <w:rFonts w:hint="eastAsia" w:ascii="Times New Roman" w:eastAsia="宋体"/>
          <w:b w:val="0"/>
          <w:bCs w:val="0"/>
          <w:sz w:val="28"/>
          <w:lang w:val="en-US" w:eastAsia="zh-CN"/>
        </w:rPr>
        <w:t>经济效益从“企业复工率”和“单日检测人次”两方面进行评价。</w:t>
      </w:r>
    </w:p>
    <w:p>
      <w:pPr>
        <w:spacing w:line="360" w:lineRule="auto"/>
        <w:ind w:firstLine="560" w:firstLineChars="200"/>
        <w:jc w:val="left"/>
        <w:outlineLvl w:val="2"/>
        <w:rPr>
          <w:rFonts w:ascii="Times New Roman" w:hAnsi="宋体" w:eastAsia="宋体" w:cs="宋体"/>
          <w:sz w:val="28"/>
          <w:szCs w:val="21"/>
        </w:rPr>
      </w:pPr>
      <w:bookmarkStart w:id="116" w:name="_Toc24820"/>
      <w:bookmarkStart w:id="117" w:name="_Toc26567"/>
      <w:r>
        <w:rPr>
          <w:rFonts w:hint="eastAsia" w:ascii="Times New Roman" w:hAnsi="宋体" w:eastAsia="宋体" w:cs="宋体"/>
          <w:sz w:val="28"/>
          <w:szCs w:val="21"/>
        </w:rPr>
        <w:t>（1）企业复工率（分值4分）</w:t>
      </w:r>
      <w:bookmarkEnd w:id="116"/>
      <w:bookmarkEnd w:id="117"/>
    </w:p>
    <w:p>
      <w:pPr>
        <w:spacing w:line="360" w:lineRule="auto"/>
        <w:ind w:firstLine="560" w:firstLineChars="200"/>
        <w:jc w:val="left"/>
        <w:rPr>
          <w:rFonts w:hint="eastAsia" w:ascii="Times New Roman" w:hAnsi="宋体" w:eastAsia="宋体" w:cs="宋体"/>
          <w:sz w:val="28"/>
          <w:szCs w:val="21"/>
          <w:lang w:eastAsia="zh-CN"/>
        </w:rPr>
      </w:pPr>
      <w:r>
        <w:rPr>
          <w:rFonts w:hint="eastAsia" w:ascii="Times New Roman" w:hAnsi="宋体" w:eastAsia="宋体" w:cs="宋体"/>
          <w:sz w:val="28"/>
          <w:szCs w:val="21"/>
          <w:lang w:eastAsia="zh-CN"/>
        </w:rPr>
        <w:t>“</w:t>
      </w:r>
      <w:r>
        <w:rPr>
          <w:rFonts w:hint="eastAsia" w:ascii="Times New Roman" w:hAnsi="宋体" w:eastAsia="宋体" w:cs="宋体"/>
          <w:sz w:val="28"/>
          <w:szCs w:val="21"/>
        </w:rPr>
        <w:t>企业复工率</w:t>
      </w:r>
      <w:r>
        <w:rPr>
          <w:rFonts w:hint="eastAsia" w:ascii="Times New Roman" w:hAnsi="宋体" w:eastAsia="宋体" w:cs="宋体"/>
          <w:sz w:val="28"/>
          <w:szCs w:val="21"/>
          <w:lang w:eastAsia="zh-CN"/>
        </w:rPr>
        <w:t>”</w:t>
      </w:r>
      <w:r>
        <w:rPr>
          <w:rFonts w:hint="eastAsia" w:ascii="Times New Roman" w:hAnsi="宋体" w:eastAsia="宋体" w:cs="宋体"/>
          <w:sz w:val="28"/>
          <w:szCs w:val="21"/>
          <w:lang w:val="en-US" w:eastAsia="zh-CN"/>
        </w:rPr>
        <w:t>用于评价是否</w:t>
      </w:r>
      <w:r>
        <w:rPr>
          <w:rFonts w:hint="eastAsia" w:ascii="Times New Roman" w:hAnsi="宋体" w:eastAsia="宋体" w:cs="宋体"/>
          <w:sz w:val="28"/>
          <w:szCs w:val="21"/>
        </w:rPr>
        <w:t>支持德化县企业积极应对本轮新冠肺炎疫情影响，帮助企业纾困解难，稳定经济增长</w:t>
      </w:r>
      <w:r>
        <w:rPr>
          <w:rFonts w:hint="eastAsia" w:ascii="Times New Roman" w:hAnsi="宋体" w:eastAsia="宋体" w:cs="宋体"/>
          <w:sz w:val="28"/>
          <w:szCs w:val="21"/>
          <w:lang w:val="en-US" w:eastAsia="zh-CN"/>
        </w:rPr>
        <w:t>的效益情况</w:t>
      </w:r>
      <w:r>
        <w:rPr>
          <w:rFonts w:hint="eastAsia" w:ascii="Times New Roman" w:hAnsi="宋体" w:eastAsia="宋体" w:cs="宋体"/>
          <w:sz w:val="28"/>
          <w:szCs w:val="21"/>
          <w:lang w:eastAsia="zh-CN"/>
        </w:rPr>
        <w:t>。</w:t>
      </w:r>
    </w:p>
    <w:p>
      <w:pPr>
        <w:spacing w:line="360" w:lineRule="auto"/>
        <w:ind w:firstLine="560" w:firstLineChars="200"/>
        <w:jc w:val="left"/>
        <w:rPr>
          <w:rFonts w:ascii="Times New Roman" w:hAnsi="宋体" w:eastAsia="宋体" w:cs="宋体"/>
          <w:sz w:val="28"/>
          <w:szCs w:val="21"/>
        </w:rPr>
      </w:pPr>
      <w:r>
        <w:rPr>
          <w:rFonts w:hint="eastAsia" w:ascii="Times New Roman" w:hAnsi="宋体" w:eastAsia="宋体" w:cs="宋体"/>
          <w:sz w:val="28"/>
          <w:szCs w:val="21"/>
        </w:rPr>
        <w:t>截至2022年12月，</w:t>
      </w:r>
      <w:r>
        <w:rPr>
          <w:rFonts w:hint="eastAsia" w:ascii="Times New Roman" w:hAnsi="宋体" w:eastAsia="宋体" w:cs="宋体"/>
          <w:sz w:val="28"/>
          <w:szCs w:val="21"/>
          <w:lang w:val="en-US" w:eastAsia="zh-CN"/>
        </w:rPr>
        <w:t>德化</w:t>
      </w:r>
      <w:r>
        <w:rPr>
          <w:rFonts w:hint="eastAsia" w:ascii="Times New Roman" w:hAnsi="宋体" w:eastAsia="宋体" w:cs="宋体"/>
          <w:sz w:val="28"/>
          <w:szCs w:val="21"/>
        </w:rPr>
        <w:t>县168家规上工业企业复工168家，复工率100%，160家限上商贸企业已全部开工，其中15个已开工省市重点项目全部复工，</w:t>
      </w:r>
      <w:r>
        <w:rPr>
          <w:rFonts w:hint="eastAsia" w:ascii="Times New Roman" w:hAnsi="宋体" w:eastAsia="宋体" w:cs="宋体"/>
          <w:sz w:val="28"/>
          <w:szCs w:val="21"/>
          <w:lang w:val="en-US" w:eastAsia="zh-CN"/>
        </w:rPr>
        <w:t>根据评分标准，</w:t>
      </w:r>
      <w:r>
        <w:rPr>
          <w:rFonts w:hint="eastAsia" w:ascii="Times New Roman" w:hAnsi="宋体" w:eastAsia="宋体" w:cs="宋体"/>
          <w:kern w:val="0"/>
          <w:sz w:val="28"/>
          <w:szCs w:val="21"/>
          <w:lang w:bidi="ar"/>
        </w:rPr>
        <w:t>本项得分4分。</w:t>
      </w:r>
    </w:p>
    <w:p>
      <w:pPr>
        <w:spacing w:line="360" w:lineRule="auto"/>
        <w:ind w:firstLine="560" w:firstLineChars="200"/>
        <w:jc w:val="left"/>
        <w:outlineLvl w:val="2"/>
        <w:rPr>
          <w:rFonts w:ascii="Times New Roman" w:hAnsi="宋体" w:eastAsia="宋体" w:cs="宋体"/>
          <w:sz w:val="28"/>
          <w:szCs w:val="21"/>
        </w:rPr>
      </w:pPr>
      <w:bookmarkStart w:id="118" w:name="_Toc6383"/>
      <w:bookmarkStart w:id="119" w:name="_Toc15105"/>
      <w:r>
        <w:rPr>
          <w:rFonts w:hint="eastAsia" w:ascii="Times New Roman" w:hAnsi="宋体" w:eastAsia="宋体" w:cs="宋体"/>
          <w:sz w:val="28"/>
          <w:szCs w:val="21"/>
        </w:rPr>
        <w:t>（2）单日检测人次（分值4分）</w:t>
      </w:r>
      <w:bookmarkEnd w:id="118"/>
      <w:bookmarkEnd w:id="119"/>
    </w:p>
    <w:p>
      <w:pPr>
        <w:spacing w:line="360" w:lineRule="auto"/>
        <w:ind w:firstLine="560" w:firstLineChars="200"/>
        <w:jc w:val="left"/>
        <w:rPr>
          <w:rFonts w:hint="eastAsia" w:ascii="Times New Roman" w:hAnsi="宋体" w:eastAsia="宋体" w:cs="宋体"/>
          <w:sz w:val="28"/>
          <w:szCs w:val="21"/>
        </w:rPr>
      </w:pPr>
      <w:r>
        <w:rPr>
          <w:rFonts w:hint="eastAsia" w:ascii="Times New Roman" w:hAnsi="宋体" w:eastAsia="宋体" w:cs="宋体"/>
          <w:sz w:val="28"/>
          <w:szCs w:val="21"/>
          <w:lang w:eastAsia="zh-CN"/>
        </w:rPr>
        <w:t>“</w:t>
      </w:r>
      <w:r>
        <w:rPr>
          <w:rFonts w:hint="eastAsia" w:ascii="Times New Roman" w:hAnsi="宋体" w:eastAsia="宋体" w:cs="宋体"/>
          <w:sz w:val="28"/>
          <w:szCs w:val="21"/>
        </w:rPr>
        <w:t>单日检测人次</w:t>
      </w:r>
      <w:r>
        <w:rPr>
          <w:rFonts w:hint="eastAsia" w:ascii="Times New Roman" w:hAnsi="宋体" w:eastAsia="宋体" w:cs="宋体"/>
          <w:sz w:val="28"/>
          <w:szCs w:val="21"/>
          <w:lang w:eastAsia="zh-CN"/>
        </w:rPr>
        <w:t>”</w:t>
      </w:r>
      <w:r>
        <w:rPr>
          <w:rFonts w:hint="eastAsia" w:ascii="Times New Roman" w:hAnsi="宋体" w:eastAsia="宋体" w:cs="宋体"/>
          <w:sz w:val="28"/>
          <w:szCs w:val="21"/>
        </w:rPr>
        <w:t>用于评价是否可实现单日内完成全县全员核酸检测目标要求30万人次以上</w:t>
      </w:r>
      <w:r>
        <w:rPr>
          <w:rFonts w:hint="eastAsia" w:ascii="Times New Roman" w:hAnsi="宋体" w:eastAsia="宋体" w:cs="宋体"/>
          <w:sz w:val="28"/>
          <w:szCs w:val="21"/>
          <w:lang w:val="en-US" w:eastAsia="zh-CN"/>
        </w:rPr>
        <w:t>的效益情况</w:t>
      </w:r>
      <w:r>
        <w:rPr>
          <w:rFonts w:hint="eastAsia" w:ascii="Times New Roman" w:hAnsi="宋体" w:eastAsia="宋体" w:cs="宋体"/>
          <w:sz w:val="28"/>
          <w:szCs w:val="21"/>
        </w:rPr>
        <w:t>。</w:t>
      </w:r>
    </w:p>
    <w:p>
      <w:pPr>
        <w:spacing w:line="360" w:lineRule="auto"/>
        <w:ind w:firstLine="560" w:firstLineChars="200"/>
        <w:jc w:val="left"/>
        <w:rPr>
          <w:rFonts w:hint="eastAsia" w:ascii="Times New Roman" w:hAnsi="宋体" w:eastAsia="宋体" w:cs="宋体"/>
          <w:kern w:val="0"/>
          <w:sz w:val="28"/>
          <w:szCs w:val="21"/>
          <w:lang w:bidi="ar"/>
        </w:rPr>
      </w:pPr>
      <w:r>
        <w:rPr>
          <w:rFonts w:hint="eastAsia" w:ascii="Times New Roman" w:hAnsi="宋体" w:eastAsia="宋体" w:cs="宋体"/>
          <w:sz w:val="28"/>
          <w:szCs w:val="21"/>
          <w:lang w:val="en-US" w:eastAsia="zh-CN"/>
        </w:rPr>
        <w:t>德化县</w:t>
      </w:r>
      <w:r>
        <w:rPr>
          <w:rFonts w:hint="eastAsia" w:ascii="Times New Roman" w:hAnsi="宋体" w:eastAsia="宋体" w:cs="宋体"/>
          <w:sz w:val="28"/>
          <w:szCs w:val="21"/>
        </w:rPr>
        <w:t>为切实提升核酸检测能力、质量和效率，优化“采、送、检、报”匹配度，新建1家妇幼楼PCR实验室，20多天内完成新实验室相应的场地规划建设、仪器设备配备等工作，于</w:t>
      </w:r>
      <w:r>
        <w:rPr>
          <w:rFonts w:hint="eastAsia" w:ascii="Times New Roman" w:hAnsi="宋体" w:eastAsia="宋体" w:cs="宋体"/>
          <w:sz w:val="28"/>
          <w:szCs w:val="21"/>
          <w:lang w:val="en-US" w:eastAsia="zh-CN"/>
        </w:rPr>
        <w:t>2022年</w:t>
      </w:r>
      <w:r>
        <w:rPr>
          <w:rFonts w:hint="eastAsia" w:ascii="Times New Roman" w:hAnsi="宋体" w:eastAsia="宋体" w:cs="宋体"/>
          <w:sz w:val="28"/>
          <w:szCs w:val="21"/>
        </w:rPr>
        <w:t>5月13日顺利通过市临检中心评估验收，具备独立开展新冠核酸检测的资质与能力。实验室配备14台扩增仪，增加检测能力1.008万管/日。全县有扩增仪30台，日最大检测能力达2.32万管以上，采取20合1混采检测的话，日检测达40多万人次，可实现单日内完成全县全员核酸检测目标要求，</w:t>
      </w:r>
      <w:r>
        <w:rPr>
          <w:rFonts w:hint="eastAsia" w:ascii="Times New Roman" w:hAnsi="宋体" w:eastAsia="宋体" w:cs="宋体"/>
          <w:sz w:val="28"/>
          <w:szCs w:val="21"/>
          <w:lang w:val="en-US" w:eastAsia="zh-CN"/>
        </w:rPr>
        <w:t>根据评分标准，此</w:t>
      </w:r>
      <w:r>
        <w:rPr>
          <w:rFonts w:hint="eastAsia" w:ascii="Times New Roman" w:hAnsi="宋体" w:eastAsia="宋体" w:cs="宋体"/>
          <w:kern w:val="0"/>
          <w:sz w:val="28"/>
          <w:szCs w:val="21"/>
          <w:lang w:bidi="ar"/>
        </w:rPr>
        <w:t>项得4分。</w:t>
      </w:r>
    </w:p>
    <w:p>
      <w:pPr>
        <w:pStyle w:val="2"/>
        <w:ind w:left="0" w:leftChars="0" w:firstLine="560" w:firstLineChars="200"/>
        <w:rPr>
          <w:rFonts w:hint="default" w:ascii="Times New Roman" w:hAnsi="宋体" w:eastAsia="宋体" w:cs="宋体"/>
          <w:kern w:val="2"/>
          <w:sz w:val="28"/>
          <w:szCs w:val="21"/>
          <w:lang w:val="en-US" w:eastAsia="zh-CN" w:bidi="ar-SA"/>
        </w:rPr>
      </w:pPr>
      <w:r>
        <w:rPr>
          <w:rFonts w:hint="eastAsia" w:ascii="Times New Roman" w:hAnsi="宋体" w:eastAsia="宋体" w:cs="宋体"/>
          <w:kern w:val="2"/>
          <w:sz w:val="28"/>
          <w:szCs w:val="21"/>
          <w:lang w:val="en-US" w:eastAsia="zh-CN" w:bidi="ar-SA"/>
        </w:rPr>
        <w:t>因此，经济效益得分8分。</w:t>
      </w:r>
    </w:p>
    <w:p>
      <w:pPr>
        <w:spacing w:line="360" w:lineRule="auto"/>
        <w:jc w:val="left"/>
        <w:outlineLvl w:val="2"/>
        <w:rPr>
          <w:rFonts w:ascii="Times New Roman" w:hAnsi="宋体" w:eastAsia="宋体" w:cs="宋体"/>
          <w:b/>
          <w:bCs/>
          <w:sz w:val="28"/>
          <w:szCs w:val="21"/>
        </w:rPr>
      </w:pPr>
      <w:bookmarkStart w:id="120" w:name="_Toc14723"/>
      <w:r>
        <w:rPr>
          <w:rFonts w:hint="eastAsia" w:ascii="Times New Roman" w:hAnsi="宋体" w:eastAsia="宋体" w:cs="宋体"/>
          <w:b/>
          <w:bCs/>
          <w:sz w:val="28"/>
          <w:szCs w:val="21"/>
        </w:rPr>
        <w:t>2.社会效益（分值4分）</w:t>
      </w:r>
      <w:bookmarkEnd w:id="120"/>
    </w:p>
    <w:p>
      <w:pPr>
        <w:spacing w:line="360" w:lineRule="auto"/>
        <w:ind w:firstLine="560" w:firstLineChars="200"/>
        <w:jc w:val="left"/>
        <w:rPr>
          <w:rFonts w:hint="default" w:ascii="Times New Roman" w:hAnsi="宋体" w:eastAsia="宋体" w:cs="宋体"/>
          <w:sz w:val="28"/>
          <w:szCs w:val="21"/>
          <w:lang w:val="en-US" w:eastAsia="zh-CN"/>
        </w:rPr>
      </w:pPr>
      <w:r>
        <w:rPr>
          <w:rFonts w:hint="eastAsia" w:ascii="Times New Roman" w:hAnsi="宋体" w:eastAsia="宋体" w:cs="宋体"/>
          <w:sz w:val="28"/>
          <w:szCs w:val="21"/>
        </w:rPr>
        <w:t>社会效益从“政策宣传”一方面进行评价。</w:t>
      </w:r>
      <w:r>
        <w:rPr>
          <w:rFonts w:hint="eastAsia" w:ascii="Times New Roman" w:hAnsi="宋体" w:eastAsia="宋体" w:cs="宋体"/>
          <w:sz w:val="28"/>
          <w:szCs w:val="21"/>
          <w:lang w:val="en-US" w:eastAsia="zh-CN"/>
        </w:rPr>
        <w:t>用于衡量宣传效果产生的效益。</w:t>
      </w:r>
    </w:p>
    <w:p>
      <w:pPr>
        <w:spacing w:line="360" w:lineRule="auto"/>
        <w:ind w:firstLine="560" w:firstLineChars="200"/>
        <w:jc w:val="left"/>
        <w:rPr>
          <w:rFonts w:hint="eastAsia" w:ascii="Times New Roman" w:hAnsi="宋体" w:eastAsia="宋体" w:cs="宋体"/>
          <w:sz w:val="28"/>
          <w:szCs w:val="21"/>
        </w:rPr>
      </w:pPr>
      <w:r>
        <w:rPr>
          <w:rFonts w:hint="eastAsia" w:ascii="Times New Roman" w:hAnsi="宋体" w:eastAsia="宋体" w:cs="宋体"/>
          <w:sz w:val="28"/>
          <w:szCs w:val="21"/>
        </w:rPr>
        <w:t>2022</w:t>
      </w:r>
      <w:r>
        <w:rPr>
          <w:rFonts w:hint="eastAsia" w:ascii="Times New Roman" w:hAnsi="宋体" w:eastAsia="宋体" w:cs="宋体"/>
          <w:sz w:val="28"/>
          <w:szCs w:val="21"/>
          <w:lang w:eastAsia="zh-CN"/>
        </w:rPr>
        <w:t>年</w:t>
      </w:r>
      <w:r>
        <w:rPr>
          <w:rFonts w:hint="eastAsia" w:ascii="Times New Roman" w:hAnsi="宋体" w:eastAsia="宋体" w:cs="宋体"/>
          <w:sz w:val="28"/>
          <w:szCs w:val="21"/>
        </w:rPr>
        <w:t>，落实“疫情不停止、宣传不间断”工作要求，通过微信群、“村村响”、流动喇叭、LED显示屏、横幅、宣传栏、宣传车等载体，以“土方言”等群众喜闻乐见的方式全天候开展宣传。累计发放宣传单15000余份，出动宣传车152车次、悬挂横幅81条。</w:t>
      </w:r>
      <w:r>
        <w:rPr>
          <w:rFonts w:hint="eastAsia" w:ascii="Times New Roman" w:hAnsi="宋体" w:eastAsia="宋体" w:cs="宋体"/>
          <w:sz w:val="28"/>
          <w:szCs w:val="21"/>
          <w:lang w:val="en-US" w:eastAsia="zh-CN"/>
        </w:rPr>
        <w:t>但也</w:t>
      </w:r>
      <w:r>
        <w:rPr>
          <w:rFonts w:hint="eastAsia" w:ascii="Times New Roman" w:hAnsi="宋体" w:eastAsia="宋体" w:cs="宋体"/>
          <w:sz w:val="28"/>
          <w:szCs w:val="21"/>
        </w:rPr>
        <w:t>存在村民自我防护意识和防疫措施不到位</w:t>
      </w:r>
      <w:r>
        <w:rPr>
          <w:rFonts w:hint="eastAsia" w:ascii="Times New Roman" w:hAnsi="宋体" w:eastAsia="宋体" w:cs="宋体"/>
          <w:sz w:val="28"/>
          <w:szCs w:val="21"/>
          <w:lang w:eastAsia="zh-CN"/>
        </w:rPr>
        <w:t>，</w:t>
      </w:r>
      <w:r>
        <w:rPr>
          <w:rFonts w:hint="eastAsia" w:ascii="Times New Roman" w:hAnsi="宋体" w:eastAsia="宋体" w:cs="宋体"/>
          <w:sz w:val="28"/>
          <w:szCs w:val="21"/>
        </w:rPr>
        <w:t>村工作人员缺乏相应的疾控专业知识和技能</w:t>
      </w:r>
      <w:r>
        <w:rPr>
          <w:rFonts w:hint="eastAsia" w:ascii="Times New Roman" w:hAnsi="宋体" w:eastAsia="宋体" w:cs="宋体"/>
          <w:sz w:val="28"/>
          <w:szCs w:val="21"/>
          <w:lang w:eastAsia="zh-CN"/>
        </w:rPr>
        <w:t>，</w:t>
      </w:r>
      <w:r>
        <w:rPr>
          <w:rFonts w:hint="eastAsia" w:ascii="Times New Roman" w:hAnsi="宋体" w:eastAsia="宋体" w:cs="宋体"/>
          <w:sz w:val="28"/>
          <w:szCs w:val="21"/>
        </w:rPr>
        <w:t>基层专业知识和专业力量不足</w:t>
      </w:r>
      <w:r>
        <w:rPr>
          <w:rFonts w:hint="eastAsia" w:ascii="Times New Roman" w:hAnsi="宋体" w:eastAsia="宋体" w:cs="宋体"/>
          <w:sz w:val="28"/>
          <w:szCs w:val="21"/>
          <w:lang w:val="en-US" w:eastAsia="zh-CN"/>
        </w:rPr>
        <w:t>的情况</w:t>
      </w:r>
      <w:r>
        <w:rPr>
          <w:rFonts w:hint="eastAsia" w:ascii="Times New Roman" w:hAnsi="宋体" w:eastAsia="宋体" w:cs="宋体"/>
          <w:sz w:val="28"/>
          <w:szCs w:val="21"/>
        </w:rPr>
        <w:t>。此项扣2分，得2分。</w:t>
      </w:r>
    </w:p>
    <w:p>
      <w:pPr>
        <w:pStyle w:val="2"/>
        <w:ind w:left="0" w:leftChars="0" w:firstLine="560" w:firstLineChars="200"/>
      </w:pPr>
      <w:r>
        <w:rPr>
          <w:rFonts w:hint="eastAsia" w:ascii="Times New Roman" w:hAnsi="宋体" w:eastAsia="宋体" w:cs="宋体"/>
          <w:kern w:val="2"/>
          <w:sz w:val="28"/>
          <w:szCs w:val="21"/>
          <w:lang w:val="en-US" w:eastAsia="zh-CN" w:bidi="ar-SA"/>
        </w:rPr>
        <w:t>因此，社会效益得分2分。</w:t>
      </w:r>
    </w:p>
    <w:p>
      <w:pPr>
        <w:spacing w:line="360" w:lineRule="auto"/>
        <w:jc w:val="left"/>
        <w:outlineLvl w:val="2"/>
        <w:rPr>
          <w:rFonts w:ascii="Times New Roman" w:hAnsi="宋体" w:eastAsia="宋体" w:cs="宋体"/>
          <w:b/>
          <w:bCs/>
          <w:sz w:val="28"/>
          <w:szCs w:val="21"/>
        </w:rPr>
      </w:pPr>
      <w:bookmarkStart w:id="121" w:name="_Toc3474"/>
      <w:r>
        <w:rPr>
          <w:rFonts w:hint="eastAsia" w:ascii="Times New Roman" w:hAnsi="宋体" w:eastAsia="宋体" w:cs="宋体"/>
          <w:b/>
          <w:bCs/>
          <w:sz w:val="28"/>
          <w:szCs w:val="21"/>
        </w:rPr>
        <w:t>3.生态效益（分值4分）</w:t>
      </w:r>
      <w:bookmarkEnd w:id="121"/>
    </w:p>
    <w:p>
      <w:pPr>
        <w:spacing w:line="360" w:lineRule="auto"/>
        <w:ind w:firstLine="560" w:firstLineChars="200"/>
        <w:jc w:val="left"/>
        <w:rPr>
          <w:rFonts w:hint="default" w:ascii="Times New Roman" w:hAnsi="宋体" w:eastAsia="宋体" w:cs="宋体"/>
          <w:sz w:val="28"/>
          <w:szCs w:val="21"/>
          <w:lang w:val="en-US" w:eastAsia="zh-CN"/>
        </w:rPr>
      </w:pPr>
      <w:r>
        <w:rPr>
          <w:rFonts w:hint="eastAsia" w:ascii="Times New Roman" w:hAnsi="宋体" w:eastAsia="宋体" w:cs="宋体"/>
          <w:sz w:val="28"/>
          <w:szCs w:val="21"/>
        </w:rPr>
        <w:t>生态效益从“消杀工作”一方面进行评价。</w:t>
      </w:r>
      <w:r>
        <w:rPr>
          <w:rFonts w:hint="eastAsia" w:ascii="Times New Roman" w:hAnsi="宋体" w:eastAsia="宋体" w:cs="宋体"/>
          <w:sz w:val="28"/>
          <w:szCs w:val="21"/>
          <w:lang w:val="en-US" w:eastAsia="zh-CN"/>
        </w:rPr>
        <w:t>用于衡量疫情消杀工作的开展情况产生的效益。</w:t>
      </w:r>
    </w:p>
    <w:p>
      <w:pPr>
        <w:spacing w:line="360" w:lineRule="auto"/>
        <w:ind w:firstLine="560" w:firstLineChars="200"/>
        <w:jc w:val="left"/>
        <w:rPr>
          <w:rFonts w:hint="eastAsia" w:ascii="Times New Roman" w:hAnsi="宋体" w:eastAsia="宋体" w:cs="宋体"/>
          <w:sz w:val="28"/>
          <w:szCs w:val="21"/>
        </w:rPr>
      </w:pPr>
      <w:r>
        <w:rPr>
          <w:rFonts w:hint="eastAsia" w:ascii="Times New Roman" w:hAnsi="宋体" w:eastAsia="宋体" w:cs="宋体"/>
          <w:sz w:val="28"/>
          <w:szCs w:val="21"/>
          <w:lang w:val="en-US" w:eastAsia="zh-CN"/>
        </w:rPr>
        <w:t>根据乡镇提供资料，</w:t>
      </w:r>
      <w:r>
        <w:rPr>
          <w:rFonts w:hint="eastAsia" w:ascii="Times New Roman" w:hAnsi="宋体" w:eastAsia="宋体" w:cs="宋体"/>
          <w:sz w:val="28"/>
          <w:szCs w:val="21"/>
        </w:rPr>
        <w:t>2022年度</w:t>
      </w:r>
      <w:r>
        <w:rPr>
          <w:rFonts w:hint="eastAsia" w:ascii="Times New Roman" w:hAnsi="宋体" w:eastAsia="宋体" w:cs="宋体"/>
          <w:sz w:val="28"/>
          <w:szCs w:val="21"/>
          <w:lang w:val="en-US" w:eastAsia="zh-CN"/>
        </w:rPr>
        <w:t>多个</w:t>
      </w:r>
      <w:r>
        <w:rPr>
          <w:rFonts w:hint="eastAsia" w:ascii="Times New Roman" w:hAnsi="宋体" w:eastAsia="宋体" w:cs="宋体"/>
          <w:sz w:val="28"/>
          <w:szCs w:val="21"/>
        </w:rPr>
        <w:t>消杀工作存在死角。</w:t>
      </w:r>
      <w:r>
        <w:rPr>
          <w:rFonts w:hint="eastAsia" w:ascii="Times New Roman" w:hAnsi="宋体" w:eastAsia="宋体" w:cs="宋体"/>
          <w:sz w:val="28"/>
          <w:szCs w:val="21"/>
          <w:lang w:val="en-US" w:eastAsia="zh-CN"/>
        </w:rPr>
        <w:t>如，</w:t>
      </w:r>
      <w:r>
        <w:rPr>
          <w:rFonts w:hint="eastAsia" w:ascii="Times New Roman" w:hAnsi="宋体" w:eastAsia="宋体" w:cs="宋体"/>
          <w:sz w:val="28"/>
          <w:szCs w:val="21"/>
        </w:rPr>
        <w:t>各村虽然按照文件要求每天进行消杀，但存在像水沟等卫生死角疏于消杀的现象</w:t>
      </w:r>
      <w:r>
        <w:rPr>
          <w:rFonts w:hint="eastAsia" w:ascii="Times New Roman" w:hAnsi="宋体" w:eastAsia="宋体" w:cs="宋体"/>
          <w:sz w:val="28"/>
          <w:szCs w:val="21"/>
          <w:lang w:eastAsia="zh-CN"/>
        </w:rPr>
        <w:t>，</w:t>
      </w:r>
      <w:r>
        <w:rPr>
          <w:rFonts w:hint="eastAsia" w:ascii="Times New Roman" w:hAnsi="宋体" w:eastAsia="宋体" w:cs="宋体"/>
          <w:sz w:val="28"/>
          <w:szCs w:val="21"/>
          <w:lang w:val="en-US" w:eastAsia="zh-CN"/>
        </w:rPr>
        <w:t>且</w:t>
      </w:r>
      <w:r>
        <w:rPr>
          <w:rFonts w:hint="eastAsia" w:ascii="Times New Roman" w:hAnsi="宋体" w:eastAsia="宋体" w:cs="宋体"/>
          <w:sz w:val="28"/>
          <w:szCs w:val="21"/>
        </w:rPr>
        <w:t>消杀台账记录不规范，存在无专人管理消杀记录的现象。此项扣2分，得2分。</w:t>
      </w:r>
    </w:p>
    <w:p>
      <w:pPr>
        <w:pStyle w:val="2"/>
        <w:ind w:left="0" w:leftChars="0" w:firstLine="560" w:firstLineChars="200"/>
      </w:pPr>
      <w:r>
        <w:rPr>
          <w:rFonts w:hint="eastAsia" w:ascii="Times New Roman" w:hAnsi="宋体" w:eastAsia="宋体" w:cs="宋体"/>
          <w:kern w:val="2"/>
          <w:sz w:val="28"/>
          <w:szCs w:val="21"/>
          <w:lang w:val="en-US" w:eastAsia="zh-CN" w:bidi="ar-SA"/>
        </w:rPr>
        <w:t>因此，生态效益得分2分。</w:t>
      </w:r>
    </w:p>
    <w:p>
      <w:pPr>
        <w:spacing w:line="360" w:lineRule="auto"/>
        <w:jc w:val="left"/>
        <w:outlineLvl w:val="2"/>
        <w:rPr>
          <w:rFonts w:ascii="Times New Roman" w:hAnsi="宋体" w:eastAsia="宋体" w:cs="宋体"/>
          <w:b/>
          <w:bCs/>
          <w:sz w:val="28"/>
          <w:szCs w:val="21"/>
        </w:rPr>
      </w:pPr>
      <w:bookmarkStart w:id="122" w:name="_Toc14895"/>
      <w:r>
        <w:rPr>
          <w:rFonts w:hint="eastAsia" w:ascii="Times New Roman" w:hAnsi="宋体" w:eastAsia="宋体" w:cs="宋体"/>
          <w:b/>
          <w:bCs/>
          <w:sz w:val="28"/>
          <w:szCs w:val="21"/>
        </w:rPr>
        <w:t>4.可持续影响（分值8分）</w:t>
      </w:r>
      <w:bookmarkEnd w:id="122"/>
    </w:p>
    <w:p>
      <w:pPr>
        <w:spacing w:line="360" w:lineRule="auto"/>
        <w:ind w:firstLine="560" w:firstLineChars="200"/>
        <w:jc w:val="left"/>
        <w:outlineLvl w:val="2"/>
        <w:rPr>
          <w:rFonts w:ascii="Times New Roman" w:hAnsi="宋体" w:eastAsia="宋体" w:cs="宋体"/>
          <w:sz w:val="28"/>
          <w:szCs w:val="21"/>
        </w:rPr>
      </w:pPr>
      <w:bookmarkStart w:id="123" w:name="_Toc21390"/>
      <w:bookmarkStart w:id="124" w:name="_Toc7020"/>
      <w:r>
        <w:rPr>
          <w:rFonts w:hint="eastAsia" w:ascii="Times New Roman" w:hAnsi="宋体" w:eastAsia="宋体" w:cs="宋体"/>
          <w:sz w:val="28"/>
          <w:szCs w:val="21"/>
        </w:rPr>
        <w:t>（1）建立健全疫情防控救治体系（分值4分）</w:t>
      </w:r>
      <w:bookmarkEnd w:id="123"/>
      <w:bookmarkEnd w:id="124"/>
    </w:p>
    <w:p>
      <w:pPr>
        <w:spacing w:line="360" w:lineRule="auto"/>
        <w:ind w:firstLine="560" w:firstLineChars="200"/>
        <w:jc w:val="left"/>
        <w:rPr>
          <w:rFonts w:ascii="Times New Roman" w:hAnsi="宋体" w:eastAsia="宋体" w:cs="宋体"/>
          <w:sz w:val="28"/>
          <w:szCs w:val="21"/>
        </w:rPr>
      </w:pPr>
      <w:r>
        <w:rPr>
          <w:rFonts w:hint="eastAsia" w:ascii="Times New Roman" w:hAnsi="宋体" w:eastAsia="宋体" w:cs="宋体"/>
          <w:sz w:val="28"/>
          <w:szCs w:val="21"/>
        </w:rPr>
        <w:t>根据</w:t>
      </w:r>
      <w:r>
        <w:rPr>
          <w:rFonts w:hint="eastAsia" w:ascii="Times New Roman" w:hAnsi="宋体" w:eastAsia="宋体" w:cs="宋体"/>
          <w:sz w:val="28"/>
          <w:szCs w:val="21"/>
          <w:lang w:val="en-US" w:eastAsia="zh-CN"/>
        </w:rPr>
        <w:t>德化县卫健局指挥部</w:t>
      </w:r>
      <w:r>
        <w:rPr>
          <w:rFonts w:hint="eastAsia" w:ascii="Times New Roman" w:hAnsi="宋体" w:eastAsia="宋体" w:cs="宋体"/>
          <w:sz w:val="28"/>
          <w:szCs w:val="21"/>
        </w:rPr>
        <w:t>提供的基础资料和现场走访情况，各级领导小组体系健全，指挥工作机制衔接严密，职责清晰，建立了应急机制、疫情监测、监管预警机制并长期有效运行，公共卫生体系和重大疫情防控救治体系建设不断加强</w:t>
      </w:r>
      <w:r>
        <w:rPr>
          <w:rFonts w:hint="eastAsia" w:ascii="Times New Roman" w:hAnsi="宋体" w:eastAsia="宋体" w:cs="宋体"/>
          <w:sz w:val="28"/>
          <w:szCs w:val="21"/>
          <w:lang w:eastAsia="zh-CN"/>
        </w:rPr>
        <w:t>。</w:t>
      </w:r>
      <w:r>
        <w:rPr>
          <w:rFonts w:hint="eastAsia" w:ascii="Times New Roman" w:hAnsi="宋体" w:eastAsia="宋体" w:cs="宋体"/>
          <w:sz w:val="28"/>
          <w:szCs w:val="21"/>
        </w:rPr>
        <w:t>根据评分标准，此项得</w:t>
      </w:r>
      <w:r>
        <w:rPr>
          <w:rFonts w:hint="eastAsia" w:ascii="Times New Roman" w:hAnsi="宋体" w:eastAsia="宋体" w:cs="宋体"/>
          <w:sz w:val="28"/>
          <w:szCs w:val="21"/>
          <w:lang w:val="en-US" w:eastAsia="zh-CN"/>
        </w:rPr>
        <w:t>4</w:t>
      </w:r>
      <w:r>
        <w:rPr>
          <w:rFonts w:hint="eastAsia" w:ascii="Times New Roman" w:hAnsi="宋体" w:eastAsia="宋体" w:cs="宋体"/>
          <w:sz w:val="28"/>
          <w:szCs w:val="21"/>
        </w:rPr>
        <w:t>分。</w:t>
      </w:r>
    </w:p>
    <w:p>
      <w:pPr>
        <w:spacing w:line="360" w:lineRule="auto"/>
        <w:ind w:firstLine="560" w:firstLineChars="200"/>
        <w:jc w:val="left"/>
        <w:outlineLvl w:val="2"/>
        <w:rPr>
          <w:rFonts w:ascii="Times New Roman" w:hAnsi="宋体" w:eastAsia="宋体" w:cs="宋体"/>
          <w:sz w:val="28"/>
          <w:szCs w:val="21"/>
        </w:rPr>
      </w:pPr>
      <w:bookmarkStart w:id="125" w:name="_Toc14287"/>
      <w:bookmarkStart w:id="126" w:name="_Toc24105"/>
      <w:r>
        <w:rPr>
          <w:rFonts w:hint="eastAsia" w:ascii="Times New Roman" w:hAnsi="宋体" w:eastAsia="宋体" w:cs="宋体"/>
          <w:sz w:val="28"/>
          <w:szCs w:val="21"/>
        </w:rPr>
        <w:t>（2）密切接触者清零率（分值4分）</w:t>
      </w:r>
      <w:bookmarkEnd w:id="125"/>
      <w:bookmarkEnd w:id="126"/>
      <w:r>
        <w:rPr>
          <w:rFonts w:hint="eastAsia" w:ascii="Times New Roman" w:hAnsi="宋体" w:eastAsia="宋体" w:cs="宋体"/>
          <w:sz w:val="28"/>
          <w:szCs w:val="21"/>
        </w:rPr>
        <w:t xml:space="preserve"> </w:t>
      </w:r>
    </w:p>
    <w:p>
      <w:pPr>
        <w:spacing w:line="360" w:lineRule="auto"/>
        <w:ind w:firstLine="560" w:firstLineChars="200"/>
        <w:jc w:val="left"/>
        <w:rPr>
          <w:rFonts w:ascii="Times New Roman" w:hAnsi="宋体" w:eastAsia="宋体" w:cs="宋体"/>
          <w:sz w:val="28"/>
          <w:szCs w:val="21"/>
        </w:rPr>
      </w:pPr>
      <w:r>
        <w:rPr>
          <w:rFonts w:hint="eastAsia" w:ascii="Times New Roman" w:hAnsi="宋体" w:eastAsia="宋体" w:cs="宋体"/>
          <w:sz w:val="28"/>
          <w:szCs w:val="21"/>
        </w:rPr>
        <w:t>密切接触者清零率=密切接触者清零人数/密切接触者人数×100%。评分标准为“无密切接触者或密切接触者清零率 100%</w:t>
      </w:r>
      <w:r>
        <w:rPr>
          <w:rFonts w:hint="eastAsia" w:ascii="Times New Roman" w:hAnsi="宋体" w:eastAsia="宋体" w:cs="宋体"/>
          <w:sz w:val="28"/>
          <w:szCs w:val="21"/>
          <w:lang w:eastAsia="zh-CN"/>
        </w:rPr>
        <w:t>的</w:t>
      </w:r>
      <w:r>
        <w:rPr>
          <w:rFonts w:hint="eastAsia" w:ascii="Times New Roman" w:hAnsi="宋体" w:eastAsia="宋体" w:cs="宋体"/>
          <w:sz w:val="28"/>
          <w:szCs w:val="21"/>
        </w:rPr>
        <w:t xml:space="preserve">满分，每一例未清零扣 1分，扣完为止”。 </w:t>
      </w:r>
    </w:p>
    <w:p>
      <w:pPr>
        <w:spacing w:line="360" w:lineRule="auto"/>
        <w:ind w:firstLine="560" w:firstLineChars="200"/>
        <w:jc w:val="left"/>
        <w:rPr>
          <w:rFonts w:hint="eastAsia" w:ascii="Times New Roman" w:hAnsi="宋体" w:eastAsia="宋体" w:cs="宋体"/>
          <w:sz w:val="28"/>
          <w:szCs w:val="21"/>
        </w:rPr>
      </w:pPr>
      <w:r>
        <w:rPr>
          <w:rFonts w:hint="eastAsia" w:ascii="Times New Roman" w:hAnsi="宋体" w:eastAsia="宋体" w:cs="宋体"/>
          <w:sz w:val="28"/>
          <w:szCs w:val="21"/>
          <w:lang w:val="en-US" w:eastAsia="zh-CN"/>
        </w:rPr>
        <w:t>经评价组</w:t>
      </w:r>
      <w:r>
        <w:rPr>
          <w:rFonts w:hint="eastAsia" w:ascii="Times New Roman" w:hAnsi="宋体" w:eastAsia="宋体" w:cs="宋体"/>
          <w:sz w:val="28"/>
          <w:szCs w:val="21"/>
        </w:rPr>
        <w:t>查询</w:t>
      </w:r>
      <w:r>
        <w:rPr>
          <w:rFonts w:hint="eastAsia" w:ascii="Times New Roman" w:hAnsi="宋体" w:eastAsia="宋体" w:cs="宋体"/>
          <w:sz w:val="28"/>
          <w:szCs w:val="21"/>
          <w:lang w:eastAsia="zh-CN"/>
        </w:rPr>
        <w:t>，</w:t>
      </w:r>
      <w:r>
        <w:rPr>
          <w:rFonts w:hint="eastAsia" w:ascii="Times New Roman" w:hAnsi="宋体" w:eastAsia="宋体" w:cs="宋体"/>
          <w:sz w:val="28"/>
          <w:szCs w:val="21"/>
        </w:rPr>
        <w:t>泉州市卫生健康委员会 2022年12月31日发布的《截至12月30日24 时泉州市新型冠状病毒肺炎疫情最新情况》中密切接触者情况，密切接触者已解除医学观察2870人，无</w:t>
      </w:r>
      <w:r>
        <w:rPr>
          <w:rFonts w:hint="eastAsia" w:ascii="Times New Roman" w:hAnsi="宋体" w:eastAsia="宋体" w:cs="宋体"/>
          <w:sz w:val="28"/>
          <w:szCs w:val="21"/>
          <w:lang w:val="en-US" w:eastAsia="zh-CN"/>
        </w:rPr>
        <w:t>潜</w:t>
      </w:r>
      <w:r>
        <w:rPr>
          <w:rFonts w:hint="eastAsia" w:ascii="Times New Roman" w:hAnsi="宋体" w:eastAsia="宋体" w:cs="宋体"/>
          <w:sz w:val="28"/>
          <w:szCs w:val="21"/>
        </w:rPr>
        <w:t>在医学隔离人员，密切接触者清零率 100%。本项得分4分。</w:t>
      </w:r>
      <w:bookmarkStart w:id="127" w:name="_Toc20351"/>
    </w:p>
    <w:p>
      <w:pPr>
        <w:pStyle w:val="2"/>
        <w:ind w:left="0" w:leftChars="0" w:firstLine="560" w:firstLineChars="200"/>
        <w:rPr>
          <w:rFonts w:hint="default" w:ascii="Times New Roman" w:hAnsi="宋体" w:eastAsia="宋体" w:cs="宋体"/>
          <w:kern w:val="2"/>
          <w:sz w:val="28"/>
          <w:szCs w:val="21"/>
          <w:lang w:val="en-US" w:eastAsia="zh-CN" w:bidi="ar-SA"/>
        </w:rPr>
      </w:pPr>
      <w:r>
        <w:rPr>
          <w:rFonts w:hint="eastAsia" w:ascii="Times New Roman" w:hAnsi="宋体" w:eastAsia="宋体" w:cs="宋体"/>
          <w:kern w:val="2"/>
          <w:sz w:val="28"/>
          <w:szCs w:val="21"/>
          <w:lang w:val="en-US" w:eastAsia="zh-CN" w:bidi="ar-SA"/>
        </w:rPr>
        <w:t>因此，可持续影响效益得分8分。</w:t>
      </w:r>
    </w:p>
    <w:p>
      <w:pPr>
        <w:spacing w:line="360" w:lineRule="auto"/>
        <w:ind w:firstLine="562" w:firstLineChars="200"/>
        <w:jc w:val="left"/>
        <w:rPr>
          <w:rFonts w:ascii="Times New Roman" w:hAnsi="宋体" w:eastAsia="宋体" w:cs="宋体"/>
          <w:b/>
          <w:sz w:val="28"/>
          <w:szCs w:val="21"/>
        </w:rPr>
      </w:pPr>
      <w:r>
        <w:rPr>
          <w:rFonts w:hint="eastAsia" w:ascii="Times New Roman" w:hAnsi="宋体" w:eastAsia="宋体" w:cs="宋体"/>
          <w:b/>
          <w:kern w:val="0"/>
          <w:sz w:val="28"/>
          <w:szCs w:val="21"/>
          <w:lang w:val="en-US" w:eastAsia="zh-CN" w:bidi="ar"/>
        </w:rPr>
        <w:t>5.</w:t>
      </w:r>
      <w:r>
        <w:rPr>
          <w:rFonts w:hint="eastAsia" w:ascii="Times New Roman" w:hAnsi="宋体" w:eastAsia="宋体" w:cs="宋体"/>
          <w:b/>
          <w:kern w:val="0"/>
          <w:sz w:val="28"/>
          <w:szCs w:val="21"/>
          <w:lang w:bidi="ar"/>
        </w:rPr>
        <w:t>满意度（分值6 分）</w:t>
      </w:r>
      <w:bookmarkEnd w:id="127"/>
      <w:r>
        <w:rPr>
          <w:rFonts w:hint="eastAsia" w:ascii="Times New Roman" w:hAnsi="宋体" w:eastAsia="宋体" w:cs="宋体"/>
          <w:b/>
          <w:kern w:val="0"/>
          <w:sz w:val="28"/>
          <w:szCs w:val="21"/>
          <w:lang w:bidi="ar"/>
        </w:rPr>
        <w:t xml:space="preserve"> </w:t>
      </w:r>
    </w:p>
    <w:p>
      <w:pPr>
        <w:widowControl/>
        <w:spacing w:line="360" w:lineRule="auto"/>
        <w:ind w:firstLine="560" w:firstLineChars="200"/>
        <w:jc w:val="left"/>
        <w:rPr>
          <w:rFonts w:ascii="Times New Roman" w:hAnsi="宋体" w:eastAsia="宋体" w:cs="宋体"/>
          <w:sz w:val="28"/>
          <w:szCs w:val="21"/>
        </w:rPr>
      </w:pPr>
      <w:r>
        <w:rPr>
          <w:rFonts w:hint="eastAsia" w:ascii="Times New Roman" w:hAnsi="宋体" w:eastAsia="宋体" w:cs="宋体"/>
          <w:kern w:val="0"/>
          <w:sz w:val="28"/>
          <w:szCs w:val="21"/>
          <w:lang w:bidi="ar"/>
        </w:rPr>
        <w:t>满意度指标通过</w:t>
      </w:r>
      <w:r>
        <w:rPr>
          <w:rFonts w:hint="eastAsia" w:ascii="Times New Roman" w:hAnsi="宋体" w:eastAsia="宋体" w:cs="宋体"/>
          <w:kern w:val="0"/>
          <w:sz w:val="28"/>
          <w:szCs w:val="21"/>
          <w:lang w:eastAsia="zh-CN" w:bidi="ar"/>
        </w:rPr>
        <w:t>“</w:t>
      </w:r>
      <w:r>
        <w:rPr>
          <w:rFonts w:hint="eastAsia" w:ascii="Times New Roman" w:hAnsi="宋体" w:eastAsia="宋体" w:cs="宋体"/>
          <w:kern w:val="0"/>
          <w:sz w:val="28"/>
          <w:szCs w:val="21"/>
          <w:lang w:bidi="ar"/>
        </w:rPr>
        <w:t>群众满意度</w:t>
      </w:r>
      <w:r>
        <w:rPr>
          <w:rFonts w:hint="eastAsia" w:ascii="Times New Roman" w:hAnsi="宋体" w:eastAsia="宋体" w:cs="宋体"/>
          <w:kern w:val="0"/>
          <w:sz w:val="28"/>
          <w:szCs w:val="21"/>
          <w:lang w:eastAsia="zh-CN" w:bidi="ar"/>
        </w:rPr>
        <w:t>”</w:t>
      </w:r>
      <w:r>
        <w:rPr>
          <w:rFonts w:hint="eastAsia" w:ascii="Times New Roman" w:hAnsi="宋体" w:eastAsia="宋体" w:cs="宋体"/>
          <w:kern w:val="0"/>
          <w:sz w:val="28"/>
          <w:szCs w:val="21"/>
          <w:lang w:bidi="ar"/>
        </w:rPr>
        <w:t>三级指标进行评价，旨在反映和考核</w:t>
      </w:r>
      <w:r>
        <w:rPr>
          <w:rFonts w:hint="eastAsia" w:ascii="Times New Roman" w:hAnsi="宋体" w:eastAsia="宋体" w:cs="宋体"/>
          <w:kern w:val="0"/>
          <w:sz w:val="28"/>
          <w:szCs w:val="21"/>
          <w:lang w:eastAsia="zh-CN" w:bidi="ar"/>
        </w:rPr>
        <w:t>社会公众</w:t>
      </w:r>
      <w:r>
        <w:rPr>
          <w:rFonts w:hint="eastAsia" w:ascii="Times New Roman" w:hAnsi="宋体" w:eastAsia="宋体" w:cs="宋体"/>
          <w:kern w:val="0"/>
          <w:sz w:val="28"/>
          <w:szCs w:val="21"/>
          <w:lang w:bidi="ar"/>
        </w:rPr>
        <w:t xml:space="preserve">或服务对象对项目实施效果的满意程度。评分标准为“群众满意度≥90%（6分）；80%≤群众满意度＜90%（4 分）；70%≤群众满意度＜80%（2分）；群众满意度＜70%（0 分）”。 </w:t>
      </w:r>
    </w:p>
    <w:p>
      <w:pPr>
        <w:widowControl/>
        <w:spacing w:line="360" w:lineRule="auto"/>
        <w:ind w:firstLine="560" w:firstLineChars="200"/>
        <w:jc w:val="left"/>
        <w:rPr>
          <w:rFonts w:hint="eastAsia" w:ascii="Times New Roman" w:hAnsi="宋体" w:eastAsia="宋体" w:cs="宋体"/>
          <w:kern w:val="0"/>
          <w:sz w:val="28"/>
          <w:szCs w:val="21"/>
          <w:lang w:bidi="ar"/>
        </w:rPr>
      </w:pPr>
      <w:r>
        <w:rPr>
          <w:rFonts w:hint="eastAsia" w:ascii="Times New Roman" w:hAnsi="宋体" w:eastAsia="宋体" w:cs="宋体"/>
          <w:kern w:val="0"/>
          <w:sz w:val="28"/>
          <w:szCs w:val="21"/>
          <w:lang w:bidi="ar"/>
        </w:rPr>
        <w:t>绩效评价工作小组发放问卷调查表 50 份，收到 43 份（问卷调查表见附件一），问卷调查结果为群众满意度平均 92.43%，大于 90%，本项得分6分。</w:t>
      </w:r>
    </w:p>
    <w:p>
      <w:pPr>
        <w:pStyle w:val="2"/>
      </w:pPr>
      <w:r>
        <w:rPr>
          <w:rFonts w:hint="eastAsia" w:ascii="Times New Roman" w:hAnsi="宋体" w:eastAsia="宋体" w:cs="宋体"/>
          <w:kern w:val="2"/>
          <w:sz w:val="28"/>
          <w:szCs w:val="21"/>
          <w:lang w:val="en-US" w:eastAsia="zh-CN" w:bidi="ar-SA"/>
        </w:rPr>
        <w:t>因此，满意度得分6分。</w:t>
      </w:r>
    </w:p>
    <w:p>
      <w:pPr>
        <w:widowControl/>
        <w:spacing w:line="240" w:lineRule="auto"/>
        <w:jc w:val="left"/>
        <w:textAlignment w:val="center"/>
        <w:outlineLvl w:val="0"/>
        <w:rPr>
          <w:rFonts w:ascii="Times New Roman" w:hAnsi="宋体" w:eastAsia="宋体" w:cs="宋体"/>
          <w:b/>
          <w:bCs/>
          <w:kern w:val="0"/>
          <w:sz w:val="32"/>
          <w:szCs w:val="21"/>
          <w:lang w:bidi="ar"/>
        </w:rPr>
      </w:pPr>
      <w:bookmarkStart w:id="128" w:name="_Toc1136"/>
      <w:bookmarkStart w:id="129" w:name="_Toc18441"/>
      <w:r>
        <w:rPr>
          <w:rFonts w:hint="eastAsia" w:ascii="Times New Roman" w:hAnsi="宋体" w:eastAsia="宋体" w:cs="宋体"/>
          <w:b/>
          <w:bCs/>
          <w:sz w:val="32"/>
          <w:szCs w:val="28"/>
        </w:rPr>
        <w:t>五、评价结论</w:t>
      </w:r>
      <w:bookmarkEnd w:id="128"/>
      <w:bookmarkEnd w:id="129"/>
    </w:p>
    <w:p>
      <w:pPr>
        <w:widowControl/>
        <w:spacing w:line="360" w:lineRule="auto"/>
        <w:ind w:firstLine="560" w:firstLineChars="200"/>
        <w:jc w:val="left"/>
        <w:rPr>
          <w:rFonts w:hint="eastAsia" w:ascii="Times New Roman" w:hAnsi="宋体" w:eastAsia="宋体" w:cs="宋体"/>
          <w:kern w:val="0"/>
          <w:sz w:val="28"/>
          <w:szCs w:val="21"/>
          <w:lang w:bidi="ar"/>
        </w:rPr>
      </w:pPr>
      <w:r>
        <w:rPr>
          <w:rFonts w:hint="eastAsia" w:ascii="Times New Roman" w:hAnsi="宋体" w:eastAsia="宋体" w:cs="宋体"/>
          <w:sz w:val="28"/>
          <w:szCs w:val="28"/>
        </w:rPr>
        <w:t>绩效评价工作小组通过从投入、过程、产出和</w:t>
      </w:r>
      <w:r>
        <w:rPr>
          <w:rFonts w:hint="eastAsia" w:ascii="Times New Roman" w:hAnsi="宋体" w:eastAsia="宋体" w:cs="宋体"/>
          <w:sz w:val="28"/>
          <w:szCs w:val="28"/>
          <w:lang w:val="en-US" w:eastAsia="zh-CN"/>
        </w:rPr>
        <w:t>效益</w:t>
      </w:r>
      <w:r>
        <w:rPr>
          <w:rFonts w:hint="eastAsia" w:ascii="Times New Roman" w:hAnsi="宋体" w:eastAsia="宋体" w:cs="宋体"/>
          <w:sz w:val="28"/>
          <w:szCs w:val="28"/>
        </w:rPr>
        <w:t>四方面逐项分析评价，</w:t>
      </w:r>
      <w:r>
        <w:rPr>
          <w:rFonts w:hint="eastAsia" w:ascii="Times New Roman" w:hAnsi="宋体" w:eastAsia="宋体" w:cs="宋体"/>
          <w:kern w:val="0"/>
          <w:sz w:val="28"/>
          <w:szCs w:val="21"/>
          <w:lang w:val="en-US" w:eastAsia="zh-CN" w:bidi="ar"/>
        </w:rPr>
        <w:t>2022年度德化县疫情防控资金绩效评价综合</w:t>
      </w:r>
      <w:r>
        <w:rPr>
          <w:rFonts w:hint="eastAsia" w:ascii="Times New Roman" w:hAnsi="宋体" w:eastAsia="宋体" w:cs="宋体"/>
          <w:kern w:val="0"/>
          <w:sz w:val="28"/>
          <w:szCs w:val="21"/>
          <w:lang w:bidi="ar"/>
        </w:rPr>
        <w:t>得分</w:t>
      </w:r>
      <w:r>
        <w:rPr>
          <w:rFonts w:hint="eastAsia" w:ascii="Times New Roman" w:hAnsi="宋体" w:eastAsia="宋体" w:cs="宋体"/>
          <w:kern w:val="0"/>
          <w:sz w:val="28"/>
          <w:szCs w:val="21"/>
          <w:lang w:val="en-US" w:eastAsia="zh-CN" w:bidi="ar"/>
        </w:rPr>
        <w:t>为</w:t>
      </w:r>
      <w:r>
        <w:rPr>
          <w:rFonts w:hint="eastAsia" w:ascii="Times New Roman" w:hAnsi="宋体" w:eastAsia="宋体" w:cs="宋体"/>
          <w:kern w:val="0"/>
          <w:sz w:val="28"/>
          <w:szCs w:val="21"/>
          <w:lang w:bidi="ar"/>
        </w:rPr>
        <w:t>8</w:t>
      </w:r>
      <w:r>
        <w:rPr>
          <w:rFonts w:hint="eastAsia" w:ascii="Times New Roman" w:hAnsi="宋体" w:eastAsia="宋体" w:cs="宋体"/>
          <w:kern w:val="0"/>
          <w:sz w:val="28"/>
          <w:szCs w:val="21"/>
          <w:lang w:val="en-US" w:eastAsia="zh-CN" w:bidi="ar"/>
        </w:rPr>
        <w:t>6</w:t>
      </w:r>
      <w:r>
        <w:rPr>
          <w:rFonts w:hint="eastAsia" w:ascii="Times New Roman" w:hAnsi="宋体" w:eastAsia="宋体" w:cs="宋体"/>
          <w:kern w:val="0"/>
          <w:sz w:val="28"/>
          <w:szCs w:val="21"/>
          <w:lang w:bidi="ar"/>
        </w:rPr>
        <w:t>分，评价等级为“良”</w:t>
      </w:r>
      <w:r>
        <w:rPr>
          <w:rFonts w:hint="eastAsia" w:ascii="Times New Roman" w:hAnsi="宋体" w:eastAsia="宋体" w:cs="宋体"/>
          <w:kern w:val="0"/>
          <w:sz w:val="28"/>
          <w:szCs w:val="21"/>
          <w:lang w:eastAsia="zh-CN" w:bidi="ar"/>
        </w:rPr>
        <w:t>。</w:t>
      </w:r>
      <w:r>
        <w:rPr>
          <w:rFonts w:hint="eastAsia" w:ascii="Times New Roman" w:hAnsi="宋体" w:eastAsia="宋体" w:cs="宋体"/>
          <w:kern w:val="0"/>
          <w:sz w:val="28"/>
          <w:szCs w:val="21"/>
          <w:lang w:val="en-US" w:eastAsia="zh-CN" w:bidi="ar"/>
        </w:rPr>
        <w:t>扣分项目为：</w:t>
      </w:r>
      <w:r>
        <w:rPr>
          <w:rFonts w:hint="eastAsia" w:ascii="Times New Roman" w:hAnsi="宋体" w:eastAsia="宋体" w:cs="宋体"/>
          <w:kern w:val="0"/>
          <w:sz w:val="28"/>
          <w:szCs w:val="21"/>
          <w:lang w:bidi="ar"/>
        </w:rPr>
        <w:t>绩效目标明确</w:t>
      </w:r>
      <w:r>
        <w:rPr>
          <w:rFonts w:hint="eastAsia" w:ascii="Times New Roman" w:hAnsi="宋体" w:eastAsia="宋体" w:cs="宋体"/>
          <w:kern w:val="0"/>
          <w:sz w:val="28"/>
          <w:szCs w:val="21"/>
          <w:lang w:eastAsia="zh-CN" w:bidi="ar"/>
        </w:rPr>
        <w:t>性</w:t>
      </w:r>
      <w:r>
        <w:rPr>
          <w:rFonts w:hint="eastAsia" w:ascii="Times New Roman" w:hAnsi="宋体" w:eastAsia="宋体" w:cs="宋体"/>
          <w:kern w:val="0"/>
          <w:sz w:val="28"/>
          <w:szCs w:val="21"/>
          <w:lang w:bidi="ar"/>
        </w:rPr>
        <w:t>扣1分，制度执行有效性扣2分，采购制度健全性扣2分，摸底排查情况扣1分，合同规范性扣2分，申请与审批流程效率扣1分，物资储备充足性扣1分</w:t>
      </w:r>
      <w:r>
        <w:rPr>
          <w:rFonts w:hint="eastAsia" w:ascii="Times New Roman" w:hAnsi="宋体" w:eastAsia="宋体" w:cs="宋体"/>
          <w:kern w:val="0"/>
          <w:sz w:val="28"/>
          <w:szCs w:val="21"/>
          <w:lang w:eastAsia="zh-CN" w:bidi="ar"/>
        </w:rPr>
        <w:t>，</w:t>
      </w:r>
      <w:r>
        <w:rPr>
          <w:rFonts w:hint="eastAsia" w:ascii="Times New Roman" w:hAnsi="宋体" w:eastAsia="宋体" w:cs="宋体"/>
          <w:kern w:val="0"/>
          <w:sz w:val="28"/>
          <w:szCs w:val="21"/>
          <w:lang w:bidi="ar"/>
        </w:rPr>
        <w:t>政策宣传扣2分，消杀工作扣2分，共扣1</w:t>
      </w:r>
      <w:r>
        <w:rPr>
          <w:rFonts w:hint="eastAsia" w:ascii="Times New Roman" w:hAnsi="宋体" w:eastAsia="宋体" w:cs="宋体"/>
          <w:kern w:val="0"/>
          <w:sz w:val="28"/>
          <w:szCs w:val="21"/>
          <w:lang w:val="en-US" w:eastAsia="zh-CN" w:bidi="ar"/>
        </w:rPr>
        <w:t>4</w:t>
      </w:r>
      <w:r>
        <w:rPr>
          <w:rFonts w:hint="eastAsia" w:ascii="Times New Roman" w:hAnsi="宋体" w:eastAsia="宋体" w:cs="宋体"/>
          <w:kern w:val="0"/>
          <w:sz w:val="28"/>
          <w:szCs w:val="21"/>
          <w:lang w:bidi="ar"/>
        </w:rPr>
        <w:t>分。</w:t>
      </w:r>
      <w:bookmarkStart w:id="130" w:name="_Toc91085985"/>
      <w:bookmarkStart w:id="131" w:name="_Toc6885"/>
      <w:bookmarkStart w:id="132" w:name="_Toc91066835"/>
      <w:bookmarkStart w:id="133" w:name="_Toc91066780"/>
    </w:p>
    <w:p>
      <w:pPr>
        <w:pStyle w:val="2"/>
        <w:ind w:left="0" w:leftChars="0" w:firstLine="0" w:firstLineChars="0"/>
        <w:outlineLvl w:val="0"/>
        <w:rPr>
          <w:rFonts w:hint="default" w:eastAsia="宋体"/>
          <w:b/>
          <w:bCs/>
          <w:lang w:val="en-US" w:eastAsia="zh-CN"/>
        </w:rPr>
      </w:pPr>
      <w:bookmarkStart w:id="134" w:name="_Toc19772"/>
      <w:r>
        <w:rPr>
          <w:rFonts w:hint="eastAsia" w:ascii="Times New Roman" w:hAnsi="宋体" w:eastAsia="宋体" w:cs="宋体"/>
          <w:b/>
          <w:bCs/>
          <w:kern w:val="0"/>
          <w:sz w:val="28"/>
          <w:szCs w:val="21"/>
          <w:lang w:val="en-US" w:eastAsia="zh-CN" w:bidi="ar"/>
        </w:rPr>
        <w:t>六、存在问题</w:t>
      </w:r>
      <w:bookmarkEnd w:id="134"/>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1"/>
        <w:rPr>
          <w:rFonts w:hint="eastAsia" w:ascii="宋体" w:hAnsi="宋体" w:eastAsia="宋体" w:cs="宋体"/>
          <w:b/>
          <w:bCs/>
          <w:sz w:val="28"/>
          <w:szCs w:val="28"/>
        </w:rPr>
      </w:pPr>
      <w:bookmarkStart w:id="135" w:name="_Toc13279"/>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一）项目实施过程制度</w:t>
      </w:r>
      <w:r>
        <w:rPr>
          <w:rFonts w:hint="eastAsia" w:ascii="宋体" w:hAnsi="宋体" w:eastAsia="宋体" w:cs="宋体"/>
          <w:b/>
          <w:bCs/>
          <w:sz w:val="28"/>
          <w:szCs w:val="28"/>
        </w:rPr>
        <w:t>执行不到位</w:t>
      </w:r>
      <w:bookmarkEnd w:id="135"/>
    </w:p>
    <w:p>
      <w:pPr>
        <w:keepNext w:val="0"/>
        <w:keepLines w:val="0"/>
        <w:pageBreakBefore w:val="0"/>
        <w:widowControl w:val="0"/>
        <w:kinsoku/>
        <w:wordWrap/>
        <w:overflowPunct/>
        <w:topLinePunct w:val="0"/>
        <w:autoSpaceDE/>
        <w:autoSpaceDN/>
        <w:bidi w:val="0"/>
        <w:adjustRightInd/>
        <w:snapToGrid/>
        <w:spacing w:before="156" w:beforeLines="50" w:beforeAutospacing="0" w:after="0" w:afterAutospacing="0" w:line="360" w:lineRule="auto"/>
        <w:ind w:left="0" w:leftChars="0" w:right="0" w:rightChars="0" w:firstLine="560" w:firstLineChars="200"/>
        <w:jc w:val="left"/>
        <w:textAlignment w:val="auto"/>
        <w:outlineLvl w:val="1"/>
        <w:rPr>
          <w:rFonts w:hint="eastAsia" w:ascii="宋体" w:hAnsi="宋体" w:eastAsia="宋体" w:cs="宋体"/>
          <w:kern w:val="2"/>
          <w:sz w:val="28"/>
          <w:szCs w:val="28"/>
          <w:lang w:val="en-US" w:eastAsia="zh-CN" w:bidi="ar-SA"/>
        </w:rPr>
      </w:pPr>
      <w:bookmarkStart w:id="136" w:name="_Toc5617"/>
      <w:bookmarkStart w:id="137" w:name="_Toc5424"/>
      <w:r>
        <w:rPr>
          <w:rFonts w:hint="eastAsia" w:ascii="宋体" w:hAnsi="宋体" w:eastAsia="宋体" w:cs="宋体"/>
          <w:kern w:val="2"/>
          <w:sz w:val="28"/>
          <w:szCs w:val="28"/>
          <w:lang w:val="en-US" w:eastAsia="zh-CN" w:bidi="ar-SA"/>
        </w:rPr>
        <w:t>经评价组查阅乡镇相关的项目验收材料和查看实地项目实施情况后，发现一些制度执行不到位的问题。其中包括合同不规范和材料签字不完整等情况。例如，疫情期间，三班镇在电脑等办公设备租赁方面未签订合同，造成了一定的风险和管理漏洞。龙浔镇部分合同和验收单没有盖章签字。此外，还有一些乡镇物资领取登记表上的领取人未及时登记，以及资料未及时归档，对于后续的审计和管理工作带来了一定的隐患。</w:t>
      </w:r>
      <w:bookmarkEnd w:id="136"/>
      <w:bookmarkEnd w:id="137"/>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1"/>
        <w:rPr>
          <w:rFonts w:hint="eastAsia" w:ascii="宋体" w:hAnsi="宋体" w:eastAsia="宋体" w:cs="宋体"/>
          <w:b/>
          <w:bCs/>
          <w:sz w:val="28"/>
          <w:szCs w:val="28"/>
        </w:rPr>
      </w:pPr>
      <w:bookmarkStart w:id="138" w:name="_Toc2500"/>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审批申请流程有待提高</w:t>
      </w:r>
      <w:bookmarkEnd w:id="13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审查过程中，存在一些审批申请流程方面的问题。其中包括有部分乡镇的经费补助未附带会议纪要的情况。例如，在检查龙门滩和盖德镇下拨村社区费用时，发现村社区并没有提供相应的发票、收据或申请报告。此外，村补助经费也缺乏附带会议纪要的记录。</w:t>
      </w:r>
    </w:p>
    <w:p>
      <w:pPr>
        <w:pStyle w:val="2"/>
        <w:outlineLvl w:val="0"/>
        <w:rPr>
          <w:rFonts w:hint="default" w:eastAsia="宋体"/>
          <w:b/>
          <w:bCs/>
          <w:lang w:val="en-US" w:eastAsia="zh-CN"/>
        </w:rPr>
      </w:pPr>
      <w:bookmarkStart w:id="139" w:name="_Toc14762"/>
      <w:r>
        <w:rPr>
          <w:rFonts w:hint="eastAsia" w:ascii="宋体" w:hAnsi="宋体" w:eastAsia="宋体" w:cs="宋体"/>
          <w:b/>
          <w:bCs/>
          <w:sz w:val="28"/>
          <w:szCs w:val="28"/>
          <w:lang w:val="en-US" w:eastAsia="zh-CN"/>
        </w:rPr>
        <w:t>七、提出建议</w:t>
      </w:r>
      <w:bookmarkEnd w:id="139"/>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bCs/>
          <w:sz w:val="28"/>
          <w:szCs w:val="28"/>
        </w:rPr>
      </w:pPr>
      <w:bookmarkStart w:id="140" w:name="_Toc1198"/>
      <w:bookmarkStart w:id="141" w:name="_Toc23777"/>
      <w:r>
        <w:rPr>
          <w:rFonts w:hint="eastAsia" w:ascii="宋体" w:hAnsi="宋体" w:eastAsia="宋体" w:cs="宋体"/>
          <w:b/>
          <w:bCs/>
          <w:sz w:val="28"/>
          <w:szCs w:val="28"/>
          <w:lang w:val="en-US" w:eastAsia="zh-CN"/>
        </w:rPr>
        <w:t>（一）</w:t>
      </w:r>
      <w:bookmarkEnd w:id="140"/>
      <w:r>
        <w:rPr>
          <w:rFonts w:hint="eastAsia" w:ascii="宋体" w:hAnsi="宋体" w:eastAsia="宋体" w:cs="宋体"/>
          <w:b/>
          <w:bCs/>
          <w:sz w:val="28"/>
          <w:szCs w:val="28"/>
        </w:rPr>
        <w:t>加强项目组织管理，提升制度执行有效性</w:t>
      </w:r>
      <w:bookmarkEnd w:id="14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针对项目实施过程制度</w:t>
      </w:r>
      <w:r>
        <w:rPr>
          <w:rFonts w:hint="eastAsia" w:ascii="宋体" w:hAnsi="宋体" w:eastAsia="宋体" w:cs="宋体"/>
          <w:sz w:val="28"/>
          <w:szCs w:val="28"/>
        </w:rPr>
        <w:t>执行不到位</w:t>
      </w:r>
      <w:r>
        <w:rPr>
          <w:rFonts w:hint="eastAsia" w:ascii="宋体" w:hAnsi="宋体" w:eastAsia="宋体" w:cs="宋体"/>
          <w:sz w:val="28"/>
          <w:szCs w:val="28"/>
          <w:lang w:val="en-US" w:eastAsia="zh-CN"/>
        </w:rPr>
        <w:t>情况，</w:t>
      </w:r>
      <w:r>
        <w:rPr>
          <w:rFonts w:hint="eastAsia" w:ascii="宋体" w:hAnsi="宋体" w:eastAsia="宋体" w:cs="宋体"/>
          <w:sz w:val="28"/>
          <w:szCs w:val="28"/>
        </w:rPr>
        <w:t>建议制定疫情防控工作实施方案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加强合同管理，对合同的签订和执行过程进行监督和审查，</w:t>
      </w:r>
      <w:r>
        <w:rPr>
          <w:rFonts w:hint="eastAsia" w:ascii="宋体" w:hAnsi="宋体" w:eastAsia="宋体" w:cs="宋体"/>
          <w:sz w:val="28"/>
          <w:szCs w:val="28"/>
        </w:rPr>
        <w:t>明确</w:t>
      </w:r>
      <w:r>
        <w:rPr>
          <w:rFonts w:hint="eastAsia" w:ascii="宋体" w:hAnsi="宋体" w:eastAsia="宋体" w:cs="宋体"/>
          <w:sz w:val="28"/>
          <w:szCs w:val="28"/>
          <w:lang w:val="en-US" w:eastAsia="zh-CN"/>
        </w:rPr>
        <w:t>疫情防控</w:t>
      </w:r>
      <w:r>
        <w:rPr>
          <w:rFonts w:hint="eastAsia" w:ascii="宋体" w:hAnsi="宋体" w:eastAsia="宋体" w:cs="宋体"/>
          <w:sz w:val="28"/>
          <w:szCs w:val="28"/>
        </w:rPr>
        <w:t>项目实施计划及进度安排、验收机制、后期管理等方面。</w:t>
      </w:r>
      <w:r>
        <w:rPr>
          <w:rFonts w:hint="eastAsia" w:ascii="宋体" w:hAnsi="宋体" w:eastAsia="宋体" w:cs="宋体"/>
          <w:sz w:val="28"/>
          <w:szCs w:val="28"/>
          <w:lang w:val="en-US" w:eastAsia="zh-CN"/>
        </w:rPr>
        <w:t>加强文书管理，要求所有相关的验收单、领取登记表等重要文件必须经过规范的盖章和签字，并进行及时的归档。通过建立健全文档管理系统</w:t>
      </w:r>
      <w:r>
        <w:rPr>
          <w:rFonts w:hint="eastAsia" w:ascii="宋体" w:hAnsi="宋体" w:eastAsia="宋体" w:cs="宋体"/>
          <w:sz w:val="28"/>
          <w:szCs w:val="28"/>
          <w:lang w:eastAsia="zh-CN"/>
        </w:rPr>
        <w:t>，合力</w:t>
      </w:r>
      <w:r>
        <w:rPr>
          <w:rFonts w:hint="eastAsia" w:ascii="宋体" w:hAnsi="宋体" w:eastAsia="宋体" w:cs="宋体"/>
          <w:sz w:val="28"/>
          <w:szCs w:val="28"/>
        </w:rPr>
        <w:t>保障项目有序进行。</w:t>
      </w:r>
    </w:p>
    <w:p>
      <w:pPr>
        <w:keepNext w:val="0"/>
        <w:keepLines w:val="0"/>
        <w:pageBreakBefore w:val="0"/>
        <w:widowControl w:val="0"/>
        <w:kinsoku/>
        <w:wordWrap/>
        <w:overflowPunct/>
        <w:topLinePunct w:val="0"/>
        <w:autoSpaceDE/>
        <w:autoSpaceDN/>
        <w:bidi w:val="0"/>
        <w:adjustRightInd/>
        <w:snapToGrid/>
        <w:spacing w:before="156" w:beforeLines="50" w:beforeAutospacing="0" w:after="0" w:afterAutospacing="0" w:line="360" w:lineRule="auto"/>
        <w:ind w:left="0" w:leftChars="0" w:right="0" w:rightChars="0" w:firstLine="562" w:firstLineChars="200"/>
        <w:jc w:val="left"/>
        <w:textAlignment w:val="auto"/>
        <w:outlineLvl w:val="1"/>
        <w:rPr>
          <w:rFonts w:hint="eastAsia" w:ascii="宋体" w:hAnsi="宋体" w:eastAsia="宋体" w:cs="宋体"/>
          <w:b/>
          <w:bCs/>
          <w:kern w:val="0"/>
          <w:sz w:val="28"/>
          <w:szCs w:val="28"/>
          <w:lang w:val="en-US" w:eastAsia="zh-CN" w:bidi="ar-SA"/>
        </w:rPr>
      </w:pPr>
      <w:bookmarkStart w:id="142" w:name="_Toc14941"/>
      <w:bookmarkStart w:id="143" w:name="_Toc21180"/>
      <w:r>
        <w:rPr>
          <w:rFonts w:hint="eastAsia" w:ascii="宋体" w:hAnsi="宋体" w:eastAsia="宋体" w:cs="宋体"/>
          <w:b/>
          <w:bCs/>
          <w:kern w:val="0"/>
          <w:sz w:val="28"/>
          <w:szCs w:val="28"/>
          <w:lang w:val="zh-TW" w:eastAsia="zh-CN" w:bidi="ar-SA"/>
        </w:rPr>
        <w:t>（</w:t>
      </w:r>
      <w:r>
        <w:rPr>
          <w:rFonts w:hint="eastAsia" w:ascii="宋体" w:hAnsi="宋体" w:eastAsia="宋体" w:cs="宋体"/>
          <w:b/>
          <w:bCs/>
          <w:kern w:val="0"/>
          <w:sz w:val="28"/>
          <w:szCs w:val="28"/>
          <w:lang w:val="en-US" w:eastAsia="zh-CN" w:bidi="ar-SA"/>
        </w:rPr>
        <w:t>二）</w:t>
      </w:r>
      <w:r>
        <w:rPr>
          <w:rFonts w:hint="eastAsia" w:ascii="宋体" w:hAnsi="宋体" w:eastAsia="宋体" w:cs="宋体"/>
          <w:b/>
          <w:bCs/>
          <w:kern w:val="0"/>
          <w:sz w:val="28"/>
          <w:szCs w:val="28"/>
          <w:lang w:val="zh-TW" w:eastAsia="zh-CN" w:bidi="ar-SA"/>
        </w:rPr>
        <w:t>健全内控管理制度，提高资金</w:t>
      </w:r>
      <w:r>
        <w:rPr>
          <w:rFonts w:hint="eastAsia" w:ascii="宋体" w:hAnsi="宋体" w:eastAsia="宋体" w:cs="宋体"/>
          <w:b/>
          <w:bCs/>
          <w:kern w:val="0"/>
          <w:sz w:val="28"/>
          <w:szCs w:val="28"/>
          <w:lang w:val="en-US" w:eastAsia="zh-CN" w:bidi="ar-SA"/>
        </w:rPr>
        <w:t>审批</w:t>
      </w:r>
      <w:r>
        <w:rPr>
          <w:rFonts w:hint="eastAsia" w:ascii="宋体" w:hAnsi="宋体" w:eastAsia="宋体" w:cs="宋体"/>
          <w:b/>
          <w:bCs/>
          <w:kern w:val="0"/>
          <w:sz w:val="28"/>
          <w:szCs w:val="28"/>
          <w:lang w:val="zh-TW" w:eastAsia="zh-CN" w:bidi="ar-SA"/>
        </w:rPr>
        <w:t>管理水平</w:t>
      </w:r>
      <w:bookmarkEnd w:id="142"/>
      <w:bookmarkEnd w:id="143"/>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针对审批申请流程存在问题，建立</w:t>
      </w:r>
      <w:r>
        <w:rPr>
          <w:rFonts w:hint="eastAsia" w:ascii="宋体" w:hAnsi="宋体" w:eastAsia="宋体" w:cs="宋体"/>
          <w:sz w:val="28"/>
          <w:szCs w:val="28"/>
          <w:lang w:val="zh-TW" w:eastAsia="zh-CN"/>
        </w:rPr>
        <w:t>健全</w:t>
      </w:r>
      <w:r>
        <w:rPr>
          <w:rFonts w:hint="eastAsia" w:ascii="宋体" w:hAnsi="宋体" w:eastAsia="宋体" w:cs="宋体"/>
          <w:sz w:val="28"/>
          <w:szCs w:val="28"/>
          <w:lang w:val="en-US" w:eastAsia="zh-CN"/>
        </w:rPr>
        <w:t>乡镇等基层应加强</w:t>
      </w:r>
      <w:r>
        <w:rPr>
          <w:rFonts w:hint="eastAsia" w:ascii="宋体" w:hAnsi="宋体" w:eastAsia="宋体" w:cs="宋体"/>
          <w:sz w:val="28"/>
          <w:szCs w:val="28"/>
          <w:lang w:val="zh-TW" w:eastAsia="zh-CN"/>
        </w:rPr>
        <w:t>财务管理制度，明确规定资金拨付的流程和操作规范，同时，加强资金使用过程中的监管，建立有效的信息沟通机制。资金拨付和使用过程中，严格执行重大事项支出集体决策制度，</w:t>
      </w:r>
      <w:r>
        <w:rPr>
          <w:rFonts w:hint="eastAsia" w:ascii="宋体" w:hAnsi="宋体" w:eastAsia="宋体" w:cs="宋体"/>
          <w:sz w:val="28"/>
          <w:szCs w:val="28"/>
          <w:lang w:val="en-US" w:eastAsia="zh-CN"/>
        </w:rPr>
        <w:t>申请经费补助的村社区都应该按照规定提交完整的申请报告，并提供相关的发票、收据等财务凭证作为资金使用的依据，</w:t>
      </w:r>
      <w:r>
        <w:rPr>
          <w:rFonts w:hint="eastAsia" w:ascii="宋体" w:hAnsi="宋体" w:eastAsia="宋体" w:cs="宋体"/>
          <w:sz w:val="28"/>
          <w:szCs w:val="28"/>
          <w:lang w:val="zh-TW" w:eastAsia="zh-CN"/>
        </w:rPr>
        <w:t>确保项目实施过程中的决策程序合法合规</w:t>
      </w:r>
      <w:r>
        <w:rPr>
          <w:rFonts w:hint="eastAsia" w:ascii="宋体" w:hAnsi="宋体" w:eastAsia="宋体" w:cs="宋体"/>
          <w:sz w:val="28"/>
          <w:szCs w:val="28"/>
          <w:lang w:val="en-US" w:eastAsia="zh-CN"/>
        </w:rPr>
        <w:t>。</w:t>
      </w:r>
    </w:p>
    <w:p>
      <w:pPr>
        <w:snapToGrid/>
        <w:spacing w:before="312" w:beforeLines="100" w:beforeAutospacing="0" w:after="156" w:afterLines="50" w:afterAutospacing="0" w:line="360" w:lineRule="auto"/>
        <w:ind w:left="0" w:leftChars="0" w:right="0" w:rightChars="0" w:firstLine="0" w:firstLineChars="0"/>
        <w:jc w:val="left"/>
        <w:outlineLvl w:val="0"/>
        <w:rPr>
          <w:rFonts w:hint="eastAsia" w:ascii="Times New Roman" w:hAnsi="宋体" w:eastAsia="宋体" w:cs="宋体"/>
          <w:b/>
          <w:spacing w:val="4"/>
          <w:kern w:val="2"/>
          <w:sz w:val="32"/>
          <w:szCs w:val="32"/>
          <w:highlight w:val="none"/>
        </w:rPr>
      </w:pPr>
      <w:bookmarkStart w:id="144" w:name="_Toc6879"/>
      <w:r>
        <w:rPr>
          <w:rFonts w:hint="eastAsia" w:ascii="Times New Roman" w:hAnsi="宋体" w:eastAsia="宋体" w:cs="宋体"/>
          <w:b/>
          <w:spacing w:val="4"/>
          <w:kern w:val="2"/>
          <w:sz w:val="32"/>
          <w:szCs w:val="32"/>
          <w:highlight w:val="none"/>
          <w:lang w:val="en-US" w:eastAsia="zh-CN"/>
        </w:rPr>
        <w:t>八、</w:t>
      </w:r>
      <w:r>
        <w:rPr>
          <w:rFonts w:hint="eastAsia" w:ascii="Times New Roman" w:hAnsi="宋体" w:eastAsia="宋体" w:cs="宋体"/>
          <w:b/>
          <w:spacing w:val="4"/>
          <w:kern w:val="2"/>
          <w:sz w:val="32"/>
          <w:szCs w:val="32"/>
          <w:highlight w:val="none"/>
        </w:rPr>
        <w:t>其他需要说明的问题</w:t>
      </w:r>
      <w:bookmarkEnd w:id="144"/>
    </w:p>
    <w:p>
      <w:pPr>
        <w:snapToGrid/>
        <w:spacing w:beforeAutospacing="0" w:afterAutospacing="0" w:line="360" w:lineRule="auto"/>
        <w:ind w:left="0" w:leftChars="0" w:firstLine="560" w:firstLineChars="200"/>
        <w:rPr>
          <w:rFonts w:hint="eastAsia" w:ascii="Times New Roman" w:eastAsia="宋体"/>
          <w:sz w:val="28"/>
          <w:szCs w:val="28"/>
          <w:lang w:val="zh-TW" w:eastAsia="zh-CN"/>
        </w:rPr>
      </w:pPr>
      <w:r>
        <w:rPr>
          <w:rFonts w:hint="eastAsia" w:ascii="Times New Roman" w:eastAsia="宋体"/>
          <w:sz w:val="28"/>
          <w:szCs w:val="28"/>
          <w:lang w:val="zh-TW" w:eastAsia="zh-CN"/>
        </w:rPr>
        <w:t>本报告中“2022年度</w:t>
      </w:r>
      <w:r>
        <w:rPr>
          <w:rFonts w:hint="eastAsia" w:ascii="Times New Roman" w:eastAsia="宋体"/>
          <w:sz w:val="28"/>
          <w:szCs w:val="28"/>
          <w:lang w:val="en-US" w:eastAsia="zh-CN"/>
        </w:rPr>
        <w:t>德化县疫情防控</w:t>
      </w:r>
      <w:r>
        <w:rPr>
          <w:rFonts w:hint="eastAsia" w:ascii="Times New Roman" w:eastAsia="宋体"/>
          <w:sz w:val="28"/>
          <w:szCs w:val="28"/>
          <w:lang w:val="zh-TW" w:eastAsia="zh-CN"/>
        </w:rPr>
        <w:t>专项资金”相关数据，均以项目单位提供的项目支出明细账、财务报表为来源依据。</w:t>
      </w:r>
    </w:p>
    <w:p>
      <w:pPr>
        <w:pStyle w:val="2"/>
        <w:snapToGrid/>
        <w:spacing w:beforeAutospacing="0" w:after="0" w:afterAutospacing="0" w:line="360" w:lineRule="auto"/>
        <w:ind w:left="0" w:leftChars="0" w:firstLine="0" w:firstLineChars="0"/>
        <w:rPr>
          <w:rFonts w:hint="eastAsia" w:ascii="Times New Roman" w:eastAsia="宋体"/>
          <w:sz w:val="28"/>
          <w:lang w:val="zh-TW" w:eastAsia="zh-CN"/>
        </w:rPr>
      </w:pPr>
    </w:p>
    <w:p>
      <w:pPr>
        <w:snapToGrid/>
        <w:spacing w:beforeAutospacing="0" w:afterAutospacing="0" w:line="360" w:lineRule="auto"/>
        <w:ind w:left="0" w:leftChars="0" w:firstLine="560" w:firstLineChars="200"/>
        <w:jc w:val="right"/>
        <w:rPr>
          <w:rFonts w:hint="eastAsia" w:ascii="Times New Roman" w:eastAsia="宋体"/>
          <w:sz w:val="28"/>
          <w:szCs w:val="28"/>
          <w:lang w:val="zh-TW" w:eastAsia="zh-CN"/>
        </w:rPr>
      </w:pPr>
      <w:r>
        <w:rPr>
          <w:rFonts w:hint="eastAsia" w:ascii="Times New Roman" w:eastAsia="宋体"/>
          <w:sz w:val="28"/>
          <w:szCs w:val="28"/>
          <w:lang w:val="zh-TW" w:eastAsia="zh-CN"/>
        </w:rPr>
        <w:t>泉州市启程财务咨询有限公司</w:t>
      </w:r>
    </w:p>
    <w:p>
      <w:pPr>
        <w:snapToGrid/>
        <w:spacing w:beforeAutospacing="0" w:afterAutospacing="0" w:line="360" w:lineRule="auto"/>
        <w:ind w:left="0" w:leftChars="0" w:firstLine="560" w:firstLineChars="200"/>
        <w:jc w:val="center"/>
        <w:rPr>
          <w:rFonts w:hint="eastAsia" w:ascii="Times New Roman" w:eastAsia="宋体"/>
          <w:sz w:val="28"/>
          <w:highlight w:val="none"/>
          <w:lang w:eastAsia="zh-CN"/>
        </w:rPr>
      </w:pPr>
      <w:r>
        <w:rPr>
          <w:rFonts w:hint="eastAsia" w:ascii="Times New Roman" w:eastAsia="宋体"/>
          <w:sz w:val="28"/>
          <w:szCs w:val="28"/>
          <w:lang w:val="en-US" w:eastAsia="zh-CN"/>
        </w:rPr>
        <w:t xml:space="preserve">                                </w:t>
      </w:r>
      <w:r>
        <w:rPr>
          <w:rFonts w:hint="eastAsia" w:ascii="Times New Roman" w:eastAsia="宋体"/>
          <w:sz w:val="28"/>
          <w:szCs w:val="28"/>
          <w:lang w:val="zh-TW" w:eastAsia="zh-CN"/>
        </w:rPr>
        <w:t>2023年</w:t>
      </w:r>
      <w:r>
        <w:rPr>
          <w:rFonts w:hint="eastAsia" w:ascii="Times New Roman" w:eastAsia="宋体"/>
          <w:sz w:val="28"/>
          <w:szCs w:val="28"/>
          <w:lang w:val="en-US" w:eastAsia="zh-CN"/>
        </w:rPr>
        <w:t>11</w:t>
      </w:r>
      <w:r>
        <w:rPr>
          <w:rFonts w:hint="eastAsia" w:ascii="Times New Roman" w:eastAsia="宋体"/>
          <w:sz w:val="28"/>
          <w:szCs w:val="28"/>
          <w:lang w:val="zh-TW" w:eastAsia="zh-CN"/>
        </w:rPr>
        <w:t>月2</w:t>
      </w:r>
      <w:r>
        <w:rPr>
          <w:rFonts w:hint="eastAsia" w:ascii="Times New Roman" w:eastAsia="宋体"/>
          <w:sz w:val="28"/>
          <w:szCs w:val="28"/>
          <w:lang w:val="en-US" w:eastAsia="zh-CN"/>
        </w:rPr>
        <w:t>5</w:t>
      </w:r>
      <w:r>
        <w:rPr>
          <w:rFonts w:hint="eastAsia" w:ascii="Times New Roman" w:eastAsia="宋体"/>
          <w:sz w:val="28"/>
          <w:szCs w:val="28"/>
          <w:lang w:val="zh-TW" w:eastAsia="zh-CN"/>
        </w:rPr>
        <w:t>日</w:t>
      </w:r>
    </w:p>
    <w:p>
      <w:pPr>
        <w:pStyle w:val="2"/>
        <w:rPr>
          <w:rFonts w:ascii="Times New Roman" w:eastAsia="宋体"/>
          <w:sz w:val="28"/>
        </w:rPr>
      </w:pPr>
    </w:p>
    <w:p>
      <w:pPr>
        <w:spacing w:line="360" w:lineRule="auto"/>
        <w:jc w:val="left"/>
        <w:rPr>
          <w:rFonts w:hint="eastAsia" w:ascii="Times New Roman" w:hAnsi="宋体" w:eastAsia="宋体" w:cs="宋体"/>
          <w:sz w:val="28"/>
          <w:szCs w:val="32"/>
        </w:rPr>
      </w:pPr>
    </w:p>
    <w:p>
      <w:pPr>
        <w:spacing w:line="360" w:lineRule="auto"/>
        <w:jc w:val="left"/>
        <w:rPr>
          <w:rFonts w:hint="eastAsia" w:ascii="Times New Roman" w:hAnsi="宋体" w:eastAsia="宋体" w:cs="宋体"/>
          <w:sz w:val="28"/>
          <w:szCs w:val="32"/>
        </w:rPr>
      </w:pPr>
    </w:p>
    <w:p>
      <w:pPr>
        <w:pStyle w:val="2"/>
        <w:rPr>
          <w:rFonts w:hint="eastAsia" w:ascii="Times New Roman" w:hAnsi="宋体" w:eastAsia="宋体" w:cs="宋体"/>
          <w:sz w:val="28"/>
          <w:szCs w:val="32"/>
        </w:rPr>
      </w:pPr>
    </w:p>
    <w:p>
      <w:pPr>
        <w:pStyle w:val="2"/>
        <w:rPr>
          <w:rFonts w:hint="eastAsia" w:ascii="Times New Roman" w:hAnsi="宋体" w:eastAsia="宋体" w:cs="宋体"/>
          <w:sz w:val="28"/>
          <w:szCs w:val="32"/>
        </w:rPr>
      </w:pPr>
    </w:p>
    <w:p>
      <w:pPr>
        <w:pStyle w:val="2"/>
        <w:rPr>
          <w:rFonts w:hint="eastAsia" w:ascii="Times New Roman" w:hAnsi="宋体" w:eastAsia="宋体" w:cs="宋体"/>
          <w:sz w:val="28"/>
          <w:szCs w:val="32"/>
        </w:rPr>
      </w:pPr>
    </w:p>
    <w:p>
      <w:pPr>
        <w:pStyle w:val="2"/>
        <w:rPr>
          <w:rFonts w:hint="eastAsia" w:ascii="Times New Roman" w:hAnsi="宋体" w:eastAsia="宋体" w:cs="宋体"/>
          <w:sz w:val="28"/>
          <w:szCs w:val="32"/>
        </w:rPr>
      </w:pPr>
    </w:p>
    <w:p>
      <w:pPr>
        <w:pStyle w:val="2"/>
        <w:rPr>
          <w:rFonts w:hint="eastAsia" w:ascii="Times New Roman" w:hAnsi="宋体" w:eastAsia="宋体" w:cs="宋体"/>
          <w:sz w:val="28"/>
          <w:szCs w:val="32"/>
        </w:rPr>
      </w:pPr>
    </w:p>
    <w:p>
      <w:pPr>
        <w:pStyle w:val="2"/>
        <w:rPr>
          <w:rFonts w:hint="eastAsia" w:ascii="Times New Roman" w:hAnsi="宋体" w:eastAsia="宋体" w:cs="宋体"/>
          <w:sz w:val="28"/>
          <w:szCs w:val="32"/>
        </w:rPr>
      </w:pPr>
    </w:p>
    <w:p>
      <w:pPr>
        <w:pStyle w:val="2"/>
        <w:ind w:left="0" w:leftChars="0" w:firstLine="0" w:firstLineChars="0"/>
        <w:rPr>
          <w:rFonts w:hint="eastAsia" w:ascii="Times New Roman" w:hAnsi="宋体" w:eastAsia="宋体" w:cs="宋体"/>
          <w:sz w:val="28"/>
          <w:szCs w:val="32"/>
        </w:rPr>
      </w:pPr>
    </w:p>
    <w:p>
      <w:pPr>
        <w:spacing w:line="360" w:lineRule="auto"/>
        <w:jc w:val="left"/>
        <w:rPr>
          <w:rFonts w:ascii="Times New Roman" w:hAnsi="宋体" w:eastAsia="宋体" w:cs="宋体"/>
          <w:sz w:val="28"/>
          <w:szCs w:val="32"/>
        </w:rPr>
      </w:pPr>
      <w:r>
        <w:rPr>
          <w:rFonts w:hint="eastAsia" w:ascii="Times New Roman" w:hAnsi="宋体" w:eastAsia="宋体" w:cs="宋体"/>
          <w:sz w:val="28"/>
          <w:szCs w:val="32"/>
        </w:rPr>
        <w:t>附件</w:t>
      </w:r>
      <w:r>
        <w:rPr>
          <w:rFonts w:hint="eastAsia" w:ascii="Times New Roman" w:hAnsi="宋体" w:eastAsia="宋体" w:cs="宋体"/>
          <w:sz w:val="28"/>
          <w:szCs w:val="32"/>
          <w:lang w:val="en-US" w:eastAsia="zh-CN"/>
        </w:rPr>
        <w:t>1</w:t>
      </w:r>
      <w:r>
        <w:rPr>
          <w:rFonts w:hint="eastAsia" w:ascii="Times New Roman" w:hAnsi="宋体" w:eastAsia="宋体" w:cs="宋体"/>
          <w:sz w:val="28"/>
          <w:szCs w:val="32"/>
        </w:rPr>
        <w:t>：</w:t>
      </w:r>
      <w:bookmarkEnd w:id="130"/>
      <w:bookmarkEnd w:id="131"/>
      <w:bookmarkEnd w:id="132"/>
      <w:bookmarkEnd w:id="133"/>
    </w:p>
    <w:p>
      <w:pPr>
        <w:spacing w:line="360" w:lineRule="auto"/>
        <w:ind w:firstLine="1124" w:firstLineChars="400"/>
        <w:jc w:val="left"/>
        <w:outlineLvl w:val="0"/>
        <w:rPr>
          <w:rFonts w:ascii="Times New Roman" w:hAnsi="宋体" w:eastAsia="宋体" w:cs="宋体"/>
          <w:b/>
          <w:kern w:val="44"/>
          <w:sz w:val="28"/>
          <w:szCs w:val="32"/>
        </w:rPr>
      </w:pPr>
      <w:bookmarkStart w:id="145" w:name="_Toc10380"/>
      <w:bookmarkStart w:id="146" w:name="_Toc16340"/>
      <w:bookmarkStart w:id="147" w:name="_Toc10467"/>
      <w:r>
        <w:rPr>
          <w:rFonts w:hint="eastAsia" w:ascii="Times New Roman" w:hAnsi="宋体" w:eastAsia="宋体" w:cs="宋体"/>
          <w:b/>
          <w:bCs/>
          <w:sz w:val="28"/>
          <w:szCs w:val="32"/>
        </w:rPr>
        <w:t>2022年度德化县疫情防控资金</w:t>
      </w:r>
      <w:r>
        <w:rPr>
          <w:rFonts w:hint="eastAsia" w:ascii="Times New Roman" w:hAnsi="宋体" w:eastAsia="宋体" w:cs="宋体"/>
          <w:b/>
          <w:kern w:val="44"/>
          <w:sz w:val="28"/>
          <w:szCs w:val="32"/>
        </w:rPr>
        <w:t>满意度调查问卷</w:t>
      </w:r>
      <w:bookmarkEnd w:id="145"/>
      <w:bookmarkEnd w:id="146"/>
      <w:bookmarkEnd w:id="147"/>
      <w:r>
        <w:rPr>
          <w:rFonts w:hint="eastAsia" w:ascii="Times New Roman" w:hAnsi="宋体" w:eastAsia="宋体" w:cs="宋体"/>
          <w:b/>
          <w:kern w:val="44"/>
          <w:sz w:val="28"/>
          <w:szCs w:val="32"/>
        </w:rPr>
        <w:t xml:space="preserve"> </w:t>
      </w:r>
    </w:p>
    <w:p>
      <w:pPr>
        <w:spacing w:line="360" w:lineRule="auto"/>
        <w:jc w:val="left"/>
        <w:rPr>
          <w:rFonts w:ascii="Times New Roman" w:hAnsi="宋体" w:eastAsia="宋体" w:cs="宋体"/>
          <w:sz w:val="28"/>
          <w:szCs w:val="32"/>
        </w:rPr>
      </w:pPr>
      <w:r>
        <w:rPr>
          <w:rFonts w:hint="eastAsia" w:ascii="Times New Roman" w:hAnsi="宋体" w:eastAsia="宋体" w:cs="宋体"/>
          <w:sz w:val="28"/>
          <w:szCs w:val="32"/>
        </w:rPr>
        <w:t>尊敬的填表人：</w:t>
      </w:r>
    </w:p>
    <w:p>
      <w:pPr>
        <w:spacing w:line="360" w:lineRule="auto"/>
        <w:ind w:firstLine="560" w:firstLineChars="200"/>
        <w:jc w:val="left"/>
        <w:rPr>
          <w:rFonts w:ascii="Times New Roman" w:hAnsi="宋体" w:eastAsia="宋体" w:cs="宋体"/>
          <w:sz w:val="28"/>
          <w:szCs w:val="32"/>
        </w:rPr>
      </w:pPr>
      <w:r>
        <w:rPr>
          <w:rFonts w:hint="eastAsia" w:ascii="Times New Roman" w:hAnsi="宋体" w:eastAsia="宋体" w:cs="宋体"/>
          <w:sz w:val="28"/>
          <w:szCs w:val="32"/>
        </w:rPr>
        <w:t>您好！</w:t>
      </w:r>
    </w:p>
    <w:p>
      <w:pPr>
        <w:spacing w:line="360" w:lineRule="auto"/>
        <w:ind w:firstLine="560" w:firstLineChars="200"/>
        <w:jc w:val="left"/>
        <w:rPr>
          <w:rFonts w:ascii="Times New Roman" w:hAnsi="宋体" w:eastAsia="宋体" w:cs="宋体"/>
          <w:sz w:val="28"/>
          <w:szCs w:val="32"/>
        </w:rPr>
      </w:pPr>
      <w:r>
        <w:rPr>
          <w:rFonts w:hint="eastAsia" w:ascii="Times New Roman" w:hAnsi="宋体" w:eastAsia="宋体" w:cs="宋体"/>
          <w:sz w:val="28"/>
          <w:szCs w:val="32"/>
        </w:rPr>
        <w:t>为了充分了解2022年度德化县疫情防控资金，现需对该项目满意度调查，敬请按照实际情况填写，感谢您的配合！</w:t>
      </w:r>
    </w:p>
    <w:p>
      <w:pPr>
        <w:spacing w:line="360" w:lineRule="auto"/>
        <w:ind w:firstLine="562" w:firstLineChars="200"/>
        <w:jc w:val="left"/>
        <w:outlineLvl w:val="0"/>
        <w:rPr>
          <w:rFonts w:ascii="Times New Roman" w:hAnsi="宋体" w:eastAsia="宋体" w:cs="宋体"/>
          <w:b/>
          <w:bCs/>
          <w:sz w:val="28"/>
          <w:szCs w:val="32"/>
        </w:rPr>
      </w:pPr>
      <w:bookmarkStart w:id="148" w:name="_Toc20236"/>
      <w:bookmarkStart w:id="149" w:name="_Toc13077"/>
      <w:bookmarkStart w:id="150" w:name="_Toc18785"/>
      <w:r>
        <w:rPr>
          <w:rFonts w:hint="eastAsia" w:ascii="Times New Roman" w:hAnsi="宋体" w:eastAsia="宋体" w:cs="宋体"/>
          <w:b/>
          <w:bCs/>
          <w:sz w:val="28"/>
          <w:szCs w:val="32"/>
        </w:rPr>
        <w:t>请在所选答案的序号上划“√”，或将答案填写在相应的横线上</w:t>
      </w:r>
      <w:bookmarkEnd w:id="148"/>
      <w:bookmarkEnd w:id="149"/>
      <w:bookmarkEnd w:id="150"/>
    </w:p>
    <w:p>
      <w:pPr>
        <w:spacing w:line="360" w:lineRule="auto"/>
        <w:ind w:firstLine="576" w:firstLineChars="200"/>
        <w:jc w:val="left"/>
        <w:rPr>
          <w:rFonts w:ascii="Times New Roman" w:hAnsi="宋体" w:eastAsia="宋体" w:cs="宋体"/>
          <w:spacing w:val="4"/>
          <w:sz w:val="28"/>
          <w:szCs w:val="32"/>
        </w:rPr>
      </w:pPr>
    </w:p>
    <w:p>
      <w:pPr>
        <w:pStyle w:val="23"/>
        <w:spacing w:line="360" w:lineRule="auto"/>
        <w:ind w:left="0" w:leftChars="0" w:firstLine="0" w:firstLineChars="0"/>
        <w:jc w:val="left"/>
        <w:rPr>
          <w:rFonts w:ascii="Times New Roman" w:hAnsi="宋体" w:cs="宋体"/>
          <w:sz w:val="28"/>
          <w:szCs w:val="32"/>
        </w:rPr>
      </w:pPr>
    </w:p>
    <w:p>
      <w:pPr>
        <w:spacing w:line="360" w:lineRule="auto"/>
        <w:ind w:firstLine="4608" w:firstLineChars="1600"/>
        <w:jc w:val="left"/>
        <w:rPr>
          <w:rFonts w:ascii="Times New Roman" w:hAnsi="宋体" w:eastAsia="宋体" w:cs="宋体"/>
          <w:spacing w:val="4"/>
          <w:sz w:val="28"/>
          <w:szCs w:val="32"/>
        </w:rPr>
      </w:pPr>
      <w:r>
        <w:rPr>
          <w:rFonts w:hint="eastAsia" w:ascii="Times New Roman" w:hAnsi="宋体" w:eastAsia="宋体" w:cs="宋体"/>
          <w:spacing w:val="4"/>
          <w:sz w:val="28"/>
          <w:szCs w:val="32"/>
        </w:rPr>
        <w:t xml:space="preserve">泉州市启程财务咨询有限公司   </w:t>
      </w:r>
    </w:p>
    <w:p>
      <w:pPr>
        <w:spacing w:line="360" w:lineRule="auto"/>
        <w:ind w:firstLine="5472" w:firstLineChars="1900"/>
        <w:jc w:val="left"/>
        <w:rPr>
          <w:rFonts w:ascii="Times New Roman" w:hAnsi="宋体" w:eastAsia="宋体" w:cs="宋体"/>
          <w:spacing w:val="4"/>
          <w:sz w:val="28"/>
          <w:szCs w:val="32"/>
        </w:rPr>
      </w:pPr>
      <w:r>
        <w:rPr>
          <w:rFonts w:hint="eastAsia" w:ascii="Times New Roman" w:hAnsi="宋体" w:eastAsia="宋体" w:cs="宋体"/>
          <w:spacing w:val="4"/>
          <w:sz w:val="28"/>
          <w:szCs w:val="32"/>
        </w:rPr>
        <w:t xml:space="preserve">年    月    日   </w:t>
      </w:r>
    </w:p>
    <w:p>
      <w:pPr>
        <w:pStyle w:val="10"/>
        <w:spacing w:line="360" w:lineRule="auto"/>
        <w:ind w:firstLine="576" w:firstLineChars="200"/>
        <w:jc w:val="left"/>
        <w:rPr>
          <w:rFonts w:ascii="Times New Roman" w:hAnsi="宋体" w:eastAsia="宋体" w:cs="宋体"/>
          <w:spacing w:val="4"/>
          <w:sz w:val="28"/>
          <w:szCs w:val="32"/>
        </w:rPr>
      </w:pPr>
    </w:p>
    <w:p>
      <w:pPr>
        <w:spacing w:line="360" w:lineRule="auto"/>
        <w:ind w:firstLine="576" w:firstLineChars="200"/>
        <w:jc w:val="left"/>
        <w:rPr>
          <w:rFonts w:ascii="Times New Roman" w:hAnsi="宋体" w:eastAsia="宋体" w:cs="宋体"/>
          <w:spacing w:val="4"/>
          <w:sz w:val="28"/>
          <w:szCs w:val="32"/>
        </w:rPr>
      </w:pPr>
    </w:p>
    <w:p>
      <w:pPr>
        <w:pStyle w:val="10"/>
        <w:spacing w:line="360" w:lineRule="auto"/>
        <w:ind w:firstLine="576" w:firstLineChars="200"/>
        <w:jc w:val="left"/>
        <w:rPr>
          <w:rFonts w:ascii="Times New Roman" w:hAnsi="宋体" w:eastAsia="宋体" w:cs="宋体"/>
          <w:spacing w:val="4"/>
          <w:sz w:val="28"/>
          <w:szCs w:val="32"/>
        </w:rPr>
      </w:pPr>
    </w:p>
    <w:p>
      <w:pPr>
        <w:spacing w:line="360" w:lineRule="auto"/>
        <w:ind w:firstLine="576" w:firstLineChars="200"/>
        <w:jc w:val="left"/>
        <w:rPr>
          <w:rFonts w:ascii="Times New Roman" w:hAnsi="宋体" w:eastAsia="宋体" w:cs="宋体"/>
          <w:spacing w:val="4"/>
          <w:sz w:val="28"/>
          <w:szCs w:val="32"/>
        </w:rPr>
      </w:pPr>
    </w:p>
    <w:p>
      <w:pPr>
        <w:pStyle w:val="10"/>
        <w:spacing w:line="360" w:lineRule="auto"/>
        <w:ind w:firstLine="576" w:firstLineChars="200"/>
        <w:jc w:val="left"/>
        <w:rPr>
          <w:rFonts w:ascii="Times New Roman" w:hAnsi="宋体" w:eastAsia="宋体" w:cs="宋体"/>
          <w:spacing w:val="4"/>
          <w:sz w:val="28"/>
          <w:szCs w:val="32"/>
        </w:rPr>
      </w:pPr>
    </w:p>
    <w:p>
      <w:pPr>
        <w:spacing w:line="360" w:lineRule="auto"/>
        <w:ind w:firstLine="576" w:firstLineChars="200"/>
        <w:jc w:val="left"/>
        <w:rPr>
          <w:rFonts w:ascii="Times New Roman" w:hAnsi="宋体" w:eastAsia="宋体" w:cs="宋体"/>
          <w:spacing w:val="4"/>
          <w:sz w:val="28"/>
          <w:szCs w:val="32"/>
        </w:rPr>
      </w:pPr>
    </w:p>
    <w:p>
      <w:pPr>
        <w:pStyle w:val="10"/>
        <w:spacing w:line="360" w:lineRule="auto"/>
        <w:ind w:firstLine="576" w:firstLineChars="200"/>
        <w:jc w:val="left"/>
        <w:rPr>
          <w:rFonts w:ascii="Times New Roman" w:hAnsi="宋体" w:eastAsia="宋体" w:cs="宋体"/>
          <w:spacing w:val="4"/>
          <w:sz w:val="28"/>
          <w:szCs w:val="32"/>
        </w:rPr>
      </w:pPr>
    </w:p>
    <w:p>
      <w:pPr>
        <w:spacing w:line="360" w:lineRule="auto"/>
        <w:ind w:firstLine="576" w:firstLineChars="200"/>
        <w:jc w:val="left"/>
        <w:rPr>
          <w:rFonts w:ascii="Times New Roman" w:hAnsi="宋体" w:eastAsia="宋体" w:cs="宋体"/>
          <w:spacing w:val="4"/>
          <w:sz w:val="28"/>
          <w:szCs w:val="32"/>
        </w:rPr>
      </w:pPr>
    </w:p>
    <w:p>
      <w:pPr>
        <w:pStyle w:val="2"/>
        <w:rPr>
          <w:rFonts w:ascii="Times New Roman" w:hAnsi="宋体" w:eastAsia="宋体" w:cs="宋体"/>
          <w:spacing w:val="4"/>
          <w:sz w:val="28"/>
          <w:szCs w:val="32"/>
        </w:rPr>
      </w:pPr>
    </w:p>
    <w:p>
      <w:pPr>
        <w:pStyle w:val="2"/>
        <w:rPr>
          <w:rFonts w:ascii="Times New Roman" w:hAnsi="宋体" w:eastAsia="宋体" w:cs="宋体"/>
          <w:spacing w:val="4"/>
          <w:sz w:val="28"/>
          <w:szCs w:val="32"/>
        </w:rPr>
      </w:pPr>
    </w:p>
    <w:p>
      <w:pPr>
        <w:pStyle w:val="10"/>
        <w:spacing w:line="360" w:lineRule="auto"/>
        <w:jc w:val="left"/>
        <w:rPr>
          <w:rFonts w:ascii="Times New Roman" w:eastAsia="宋体"/>
          <w:sz w:val="28"/>
        </w:rPr>
      </w:pPr>
    </w:p>
    <w:p>
      <w:r>
        <w:rPr>
          <w:rFonts w:hint="eastAsia" w:ascii="Times New Roman" w:hAnsi="仿宋" w:eastAsia="宋体" w:cs="宋体"/>
          <w:b/>
          <w:spacing w:val="4"/>
          <w:sz w:val="28"/>
          <w:szCs w:val="28"/>
        </w:rPr>
        <w:t>姓名</w:t>
      </w:r>
      <w:r>
        <w:rPr>
          <w:rFonts w:hint="eastAsia" w:ascii="Times New Roman" w:hAnsi="仿宋" w:eastAsia="宋体" w:cs="宋体"/>
          <w:b/>
          <w:spacing w:val="4"/>
          <w:sz w:val="28"/>
          <w:szCs w:val="28"/>
          <w:lang w:eastAsia="zh-CN"/>
        </w:rPr>
        <w:t>（</w:t>
      </w:r>
      <w:r>
        <w:rPr>
          <w:rFonts w:hint="eastAsia" w:ascii="Times New Roman" w:hAnsi="仿宋" w:eastAsia="宋体" w:cs="宋体"/>
          <w:b/>
          <w:spacing w:val="4"/>
          <w:sz w:val="28"/>
          <w:szCs w:val="28"/>
        </w:rPr>
        <w:t>可匿名</w:t>
      </w:r>
      <w:r>
        <w:rPr>
          <w:rFonts w:hint="eastAsia" w:ascii="Times New Roman" w:hAnsi="仿宋" w:eastAsia="宋体" w:cs="宋体"/>
          <w:b/>
          <w:spacing w:val="4"/>
          <w:sz w:val="28"/>
          <w:szCs w:val="28"/>
          <w:lang w:eastAsia="zh-CN"/>
        </w:rPr>
        <w:t>）</w:t>
      </w:r>
      <w:r>
        <w:rPr>
          <w:rFonts w:hint="eastAsia" w:ascii="Times New Roman" w:hAnsi="仿宋" w:eastAsia="宋体" w:cs="宋体"/>
          <w:b/>
          <w:spacing w:val="4"/>
          <w:sz w:val="28"/>
          <w:szCs w:val="28"/>
        </w:rPr>
        <w:t xml:space="preserve">:                                填写日期： </w:t>
      </w:r>
    </w:p>
    <w:tbl>
      <w:tblPr>
        <w:tblStyle w:val="17"/>
        <w:tblW w:w="4999" w:type="pct"/>
        <w:tblInd w:w="0" w:type="dxa"/>
        <w:tblLayout w:type="autofit"/>
        <w:tblCellMar>
          <w:top w:w="0" w:type="dxa"/>
          <w:left w:w="108" w:type="dxa"/>
          <w:bottom w:w="0" w:type="dxa"/>
          <w:right w:w="108" w:type="dxa"/>
        </w:tblCellMar>
      </w:tblPr>
      <w:tblGrid>
        <w:gridCol w:w="647"/>
        <w:gridCol w:w="5371"/>
        <w:gridCol w:w="976"/>
        <w:gridCol w:w="976"/>
        <w:gridCol w:w="976"/>
      </w:tblGrid>
      <w:tr>
        <w:tblPrEx>
          <w:tblCellMar>
            <w:top w:w="0" w:type="dxa"/>
            <w:left w:w="108" w:type="dxa"/>
            <w:bottom w:w="0" w:type="dxa"/>
            <w:right w:w="108" w:type="dxa"/>
          </w:tblCellMar>
        </w:tblPrEx>
        <w:trPr>
          <w:trHeight w:val="850" w:hRule="atLeast"/>
        </w:trPr>
        <w:tc>
          <w:tcPr>
            <w:tcW w:w="362" w:type="pct"/>
            <w:tcBorders>
              <w:top w:val="single" w:color="auto" w:sz="4" w:space="0"/>
              <w:left w:val="single" w:color="FEFEFE" w:sz="8" w:space="0"/>
              <w:bottom w:val="single" w:color="404040" w:sz="24" w:space="0"/>
              <w:right w:val="single" w:color="FEFEFE" w:sz="8" w:space="0"/>
              <w:tl2br w:val="nil"/>
            </w:tcBorders>
            <w:shd w:val="clear" w:color="auto" w:fill="FEFEFE"/>
            <w:vAlign w:val="center"/>
          </w:tcPr>
          <w:p>
            <w:pPr>
              <w:widowControl/>
              <w:textAlignment w:val="center"/>
              <w:rPr>
                <w:rFonts w:ascii="宋体" w:hAnsi="宋体" w:eastAsia="宋体" w:cs="宋体"/>
                <w:b/>
                <w:szCs w:val="21"/>
              </w:rPr>
            </w:pPr>
            <w:r>
              <w:rPr>
                <w:rFonts w:hint="eastAsia" w:ascii="宋体" w:hAnsi="宋体" w:eastAsia="宋体" w:cs="宋体"/>
                <w:b/>
                <w:kern w:val="0"/>
                <w:szCs w:val="21"/>
              </w:rPr>
              <w:t>序号</w:t>
            </w:r>
          </w:p>
        </w:tc>
        <w:tc>
          <w:tcPr>
            <w:tcW w:w="3001" w:type="pct"/>
            <w:tcBorders>
              <w:top w:val="single" w:color="auto" w:sz="4" w:space="0"/>
              <w:left w:val="single" w:color="FEFEFE" w:sz="8" w:space="0"/>
              <w:bottom w:val="single" w:color="404040" w:sz="24" w:space="0"/>
              <w:right w:val="single" w:color="FEFEFE" w:sz="8" w:space="0"/>
            </w:tcBorders>
            <w:shd w:val="clear" w:color="auto" w:fill="FEFEFE"/>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调查项目</w:t>
            </w:r>
          </w:p>
        </w:tc>
        <w:tc>
          <w:tcPr>
            <w:tcW w:w="545" w:type="pct"/>
            <w:tcBorders>
              <w:top w:val="single" w:color="auto" w:sz="4" w:space="0"/>
              <w:left w:val="single" w:color="FEFEFE" w:sz="8" w:space="0"/>
              <w:bottom w:val="single" w:color="404040" w:sz="24" w:space="0"/>
              <w:right w:val="single" w:color="FEFEFE" w:sz="8" w:space="0"/>
            </w:tcBorders>
            <w:shd w:val="clear" w:color="auto" w:fill="FEFEFE"/>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标准分数</w:t>
            </w:r>
          </w:p>
        </w:tc>
        <w:tc>
          <w:tcPr>
            <w:tcW w:w="545" w:type="pct"/>
            <w:tcBorders>
              <w:top w:val="single" w:color="auto" w:sz="4" w:space="0"/>
              <w:left w:val="single" w:color="FEFEFE" w:sz="8" w:space="0"/>
              <w:bottom w:val="single" w:color="404040" w:sz="24" w:space="0"/>
              <w:right w:val="single" w:color="FEFEFE" w:sz="8" w:space="0"/>
            </w:tcBorders>
            <w:shd w:val="clear" w:color="auto" w:fill="FEFEFE"/>
            <w:vAlign w:val="center"/>
          </w:tcPr>
          <w:p>
            <w:pPr>
              <w:widowControl/>
              <w:ind w:firstLine="211" w:firstLineChars="100"/>
              <w:textAlignment w:val="center"/>
              <w:rPr>
                <w:rFonts w:ascii="宋体" w:hAnsi="宋体" w:eastAsia="宋体" w:cs="宋体"/>
                <w:b/>
                <w:kern w:val="0"/>
                <w:szCs w:val="21"/>
              </w:rPr>
            </w:pPr>
            <w:r>
              <w:rPr>
                <w:rFonts w:hint="eastAsia" w:ascii="宋体" w:hAnsi="宋体" w:eastAsia="宋体" w:cs="宋体"/>
                <w:b/>
                <w:kern w:val="0"/>
                <w:szCs w:val="21"/>
              </w:rPr>
              <w:t>得分</w:t>
            </w:r>
          </w:p>
        </w:tc>
        <w:tc>
          <w:tcPr>
            <w:tcW w:w="545" w:type="pct"/>
            <w:tcBorders>
              <w:top w:val="single" w:color="auto" w:sz="4" w:space="0"/>
              <w:left w:val="single" w:color="FEFEFE" w:sz="8" w:space="0"/>
              <w:bottom w:val="single" w:color="404040" w:sz="24" w:space="0"/>
              <w:right w:val="single" w:color="FEFEFE" w:sz="8" w:space="0"/>
            </w:tcBorders>
            <w:shd w:val="clear" w:color="auto" w:fill="FEFEFE"/>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备注</w:t>
            </w:r>
          </w:p>
        </w:tc>
      </w:tr>
      <w:tr>
        <w:tblPrEx>
          <w:tblCellMar>
            <w:top w:w="0" w:type="dxa"/>
            <w:left w:w="108" w:type="dxa"/>
            <w:bottom w:w="0" w:type="dxa"/>
            <w:right w:w="108" w:type="dxa"/>
          </w:tblCellMar>
        </w:tblPrEx>
        <w:trPr>
          <w:trHeight w:val="830" w:hRule="atLeast"/>
        </w:trPr>
        <w:tc>
          <w:tcPr>
            <w:tcW w:w="362" w:type="pct"/>
            <w:tcBorders>
              <w:top w:val="single" w:color="404040" w:sz="24"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3001" w:type="pct"/>
            <w:tcBorders>
              <w:top w:val="single" w:color="404040" w:sz="24"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您是否了解我市的疫情防控资金项目？ </w:t>
            </w:r>
          </w:p>
          <w:p>
            <w:pPr>
              <w:widowControl/>
              <w:jc w:val="left"/>
              <w:textAlignment w:val="center"/>
              <w:rPr>
                <w:rFonts w:ascii="宋体" w:hAnsi="宋体" w:eastAsia="宋体" w:cs="宋体"/>
                <w:szCs w:val="21"/>
              </w:rPr>
            </w:pPr>
            <w:r>
              <w:rPr>
                <w:rFonts w:hint="eastAsia" w:ascii="宋体" w:hAnsi="宋体" w:eastAsia="宋体" w:cs="宋体"/>
                <w:kern w:val="0"/>
                <w:szCs w:val="21"/>
              </w:rPr>
              <w:t>(A非常了解10分</w:t>
            </w:r>
            <w:r>
              <w:rPr>
                <w:rFonts w:hint="eastAsia" w:ascii="宋体" w:hAnsi="宋体" w:eastAsia="宋体" w:cs="宋体"/>
                <w:kern w:val="0"/>
                <w:szCs w:val="21"/>
                <w:lang w:eastAsia="zh-CN"/>
              </w:rPr>
              <w:t>；</w:t>
            </w:r>
            <w:r>
              <w:rPr>
                <w:rFonts w:hint="eastAsia" w:ascii="宋体" w:hAnsi="宋体" w:eastAsia="宋体" w:cs="宋体"/>
                <w:kern w:val="0"/>
                <w:szCs w:val="21"/>
              </w:rPr>
              <w:t>B了解6</w:t>
            </w:r>
            <w:r>
              <w:rPr>
                <w:rFonts w:hint="eastAsia" w:ascii="宋体" w:hAnsi="宋体" w:eastAsia="宋体" w:cs="宋体"/>
                <w:kern w:val="0"/>
                <w:szCs w:val="21"/>
                <w:lang w:eastAsia="zh-CN"/>
              </w:rPr>
              <w:t>—</w:t>
            </w:r>
            <w:r>
              <w:rPr>
                <w:rFonts w:hint="eastAsia" w:ascii="宋体" w:hAnsi="宋体" w:eastAsia="宋体" w:cs="宋体"/>
                <w:kern w:val="0"/>
                <w:szCs w:val="21"/>
              </w:rPr>
              <w:t>9分</w:t>
            </w:r>
            <w:r>
              <w:rPr>
                <w:rFonts w:hint="eastAsia" w:ascii="宋体" w:hAnsi="宋体" w:eastAsia="宋体" w:cs="宋体"/>
                <w:kern w:val="0"/>
                <w:szCs w:val="21"/>
                <w:lang w:eastAsia="zh-CN"/>
              </w:rPr>
              <w:t>；</w:t>
            </w:r>
            <w:r>
              <w:rPr>
                <w:rFonts w:hint="eastAsia" w:ascii="宋体" w:hAnsi="宋体" w:eastAsia="宋体" w:cs="宋体"/>
                <w:kern w:val="0"/>
                <w:szCs w:val="21"/>
              </w:rPr>
              <w:t xml:space="preserve"> C一般1</w:t>
            </w:r>
            <w:r>
              <w:rPr>
                <w:rFonts w:hint="eastAsia" w:ascii="宋体" w:hAnsi="宋体" w:eastAsia="宋体" w:cs="宋体"/>
                <w:kern w:val="0"/>
                <w:szCs w:val="21"/>
                <w:lang w:eastAsia="zh-CN"/>
              </w:rPr>
              <w:t>—</w:t>
            </w:r>
            <w:r>
              <w:rPr>
                <w:rFonts w:hint="eastAsia" w:ascii="宋体" w:hAnsi="宋体" w:eastAsia="宋体" w:cs="宋体"/>
                <w:kern w:val="0"/>
                <w:szCs w:val="21"/>
              </w:rPr>
              <w:t>5分</w:t>
            </w:r>
            <w:r>
              <w:rPr>
                <w:rFonts w:hint="eastAsia" w:ascii="宋体" w:hAnsi="宋体" w:eastAsia="宋体" w:cs="宋体"/>
                <w:kern w:val="0"/>
                <w:szCs w:val="21"/>
                <w:lang w:eastAsia="zh-CN"/>
              </w:rPr>
              <w:t>；</w:t>
            </w:r>
            <w:r>
              <w:rPr>
                <w:rFonts w:hint="eastAsia" w:ascii="宋体" w:hAnsi="宋体" w:eastAsia="宋体" w:cs="宋体"/>
                <w:kern w:val="0"/>
                <w:szCs w:val="21"/>
              </w:rPr>
              <w:t>D不了解0分</w:t>
            </w:r>
            <w:r>
              <w:rPr>
                <w:rFonts w:hint="eastAsia" w:ascii="宋体" w:hAnsi="宋体" w:eastAsia="宋体" w:cs="宋体"/>
                <w:kern w:val="0"/>
                <w:szCs w:val="21"/>
                <w:lang w:eastAsia="zh-CN"/>
              </w:rPr>
              <w:t>）</w:t>
            </w:r>
          </w:p>
        </w:tc>
        <w:tc>
          <w:tcPr>
            <w:tcW w:w="545" w:type="pct"/>
            <w:tcBorders>
              <w:top w:val="single" w:color="404040" w:sz="24"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24"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24"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1341" w:hRule="atLeast"/>
        </w:trPr>
        <w:tc>
          <w:tcPr>
            <w:tcW w:w="362"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3001"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您是从什么渠道了解德化县疫情防控资金项目？</w:t>
            </w:r>
          </w:p>
          <w:p>
            <w:pPr>
              <w:widowControl/>
              <w:numPr>
                <w:ilvl w:val="0"/>
                <w:numId w:val="7"/>
              </w:numPr>
              <w:jc w:val="left"/>
              <w:textAlignment w:val="center"/>
              <w:rPr>
                <w:rFonts w:ascii="宋体" w:hAnsi="宋体" w:eastAsia="宋体" w:cs="宋体"/>
                <w:szCs w:val="21"/>
              </w:rPr>
            </w:pPr>
            <w:r>
              <w:rPr>
                <w:rFonts w:hint="eastAsia" w:ascii="宋体" w:hAnsi="宋体" w:eastAsia="宋体" w:cs="宋体"/>
                <w:kern w:val="0"/>
                <w:szCs w:val="21"/>
              </w:rPr>
              <w:t>政府宣传  B.宣传  C.电视、报刊、广播等媒体  D.网络  E.其他 （每项2分</w:t>
            </w:r>
            <w:r>
              <w:rPr>
                <w:rFonts w:hint="eastAsia" w:ascii="宋体" w:hAnsi="宋体" w:eastAsia="宋体" w:cs="宋体"/>
                <w:kern w:val="0"/>
                <w:szCs w:val="21"/>
                <w:lang w:eastAsia="zh-CN"/>
              </w:rPr>
              <w:t>）</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966" w:hRule="atLeast"/>
        </w:trPr>
        <w:tc>
          <w:tcPr>
            <w:tcW w:w="362"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3001"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您觉得出台的德化县疫情防控资金项目在当地是否得到有效的落实？</w:t>
            </w:r>
          </w:p>
          <w:p>
            <w:pPr>
              <w:widowControl/>
              <w:jc w:val="left"/>
              <w:textAlignment w:val="center"/>
              <w:rPr>
                <w:rFonts w:ascii="宋体" w:hAnsi="宋体" w:eastAsia="宋体" w:cs="宋体"/>
                <w:szCs w:val="21"/>
              </w:rPr>
            </w:pPr>
            <w:r>
              <w:rPr>
                <w:rFonts w:hint="eastAsia" w:ascii="宋体" w:hAnsi="宋体" w:eastAsia="宋体" w:cs="宋体"/>
                <w:kern w:val="0"/>
                <w:szCs w:val="21"/>
                <w:lang w:eastAsia="zh-CN"/>
              </w:rPr>
              <w:t>（</w:t>
            </w:r>
            <w:r>
              <w:rPr>
                <w:rFonts w:hint="eastAsia" w:ascii="宋体" w:hAnsi="宋体" w:eastAsia="宋体" w:cs="宋体"/>
                <w:kern w:val="0"/>
                <w:szCs w:val="21"/>
              </w:rPr>
              <w:t>完全落实10分</w:t>
            </w:r>
            <w:r>
              <w:rPr>
                <w:rFonts w:hint="eastAsia" w:ascii="宋体" w:hAnsi="宋体" w:eastAsia="宋体" w:cs="宋体"/>
                <w:kern w:val="0"/>
                <w:szCs w:val="21"/>
                <w:lang w:eastAsia="zh-CN"/>
              </w:rPr>
              <w:t>；</w:t>
            </w:r>
            <w:r>
              <w:rPr>
                <w:rFonts w:hint="eastAsia" w:ascii="宋体" w:hAnsi="宋体" w:eastAsia="宋体" w:cs="宋体"/>
                <w:kern w:val="0"/>
                <w:szCs w:val="21"/>
              </w:rPr>
              <w:t>基本落实6</w:t>
            </w:r>
            <w:r>
              <w:rPr>
                <w:rFonts w:hint="eastAsia" w:ascii="宋体" w:hAnsi="宋体" w:eastAsia="宋体" w:cs="宋体"/>
                <w:kern w:val="0"/>
                <w:szCs w:val="21"/>
                <w:lang w:eastAsia="zh-CN"/>
              </w:rPr>
              <w:t>—</w:t>
            </w:r>
            <w:r>
              <w:rPr>
                <w:rFonts w:hint="eastAsia" w:ascii="宋体" w:hAnsi="宋体" w:eastAsia="宋体" w:cs="宋体"/>
                <w:kern w:val="0"/>
                <w:szCs w:val="21"/>
              </w:rPr>
              <w:t>9分</w:t>
            </w:r>
            <w:r>
              <w:rPr>
                <w:rFonts w:hint="eastAsia" w:ascii="宋体" w:hAnsi="宋体" w:eastAsia="宋体" w:cs="宋体"/>
                <w:kern w:val="0"/>
                <w:szCs w:val="21"/>
                <w:lang w:eastAsia="zh-CN"/>
              </w:rPr>
              <w:t>；</w:t>
            </w:r>
            <w:r>
              <w:rPr>
                <w:rFonts w:hint="eastAsia" w:ascii="宋体" w:hAnsi="宋体" w:eastAsia="宋体" w:cs="宋体"/>
                <w:kern w:val="0"/>
                <w:szCs w:val="21"/>
              </w:rPr>
              <w:t>落实较少1</w:t>
            </w:r>
            <w:r>
              <w:rPr>
                <w:rFonts w:hint="eastAsia" w:ascii="宋体" w:hAnsi="宋体" w:eastAsia="宋体" w:cs="宋体"/>
                <w:kern w:val="0"/>
                <w:szCs w:val="21"/>
                <w:lang w:eastAsia="zh-CN"/>
              </w:rPr>
              <w:t>—</w:t>
            </w:r>
            <w:r>
              <w:rPr>
                <w:rFonts w:hint="eastAsia" w:ascii="宋体" w:hAnsi="宋体" w:eastAsia="宋体" w:cs="宋体"/>
                <w:kern w:val="0"/>
                <w:szCs w:val="21"/>
              </w:rPr>
              <w:t>5分</w:t>
            </w:r>
            <w:r>
              <w:rPr>
                <w:rFonts w:hint="eastAsia" w:ascii="宋体" w:hAnsi="宋体" w:eastAsia="宋体" w:cs="宋体"/>
                <w:kern w:val="0"/>
                <w:szCs w:val="21"/>
                <w:lang w:eastAsia="zh-CN"/>
              </w:rPr>
              <w:t>；</w:t>
            </w:r>
            <w:r>
              <w:rPr>
                <w:rFonts w:hint="eastAsia" w:ascii="宋体" w:hAnsi="宋体" w:eastAsia="宋体" w:cs="宋体"/>
                <w:kern w:val="0"/>
                <w:szCs w:val="21"/>
              </w:rPr>
              <w:t>没落实0分</w:t>
            </w:r>
            <w:r>
              <w:rPr>
                <w:rFonts w:hint="eastAsia" w:ascii="宋体" w:hAnsi="宋体" w:eastAsia="宋体" w:cs="宋体"/>
                <w:kern w:val="0"/>
                <w:szCs w:val="21"/>
                <w:lang w:eastAsia="zh-CN"/>
              </w:rPr>
              <w:t>）</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830" w:hRule="atLeast"/>
        </w:trPr>
        <w:tc>
          <w:tcPr>
            <w:tcW w:w="362"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w:t>
            </w:r>
          </w:p>
        </w:tc>
        <w:tc>
          <w:tcPr>
            <w:tcW w:w="3001"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您认为德化县疫情防控资金项目产生的社会效益如何</w:t>
            </w:r>
            <w:r>
              <w:rPr>
                <w:rFonts w:hint="eastAsia" w:ascii="宋体" w:hAnsi="宋体" w:eastAsia="宋体" w:cs="宋体"/>
                <w:kern w:val="0"/>
                <w:szCs w:val="21"/>
                <w:lang w:eastAsia="zh-CN"/>
              </w:rPr>
              <w:t>？</w:t>
            </w:r>
          </w:p>
          <w:p>
            <w:pPr>
              <w:widowControl/>
              <w:jc w:val="left"/>
              <w:textAlignment w:val="center"/>
              <w:rPr>
                <w:rFonts w:ascii="宋体" w:hAnsi="宋体" w:eastAsia="宋体" w:cs="宋体"/>
                <w:szCs w:val="21"/>
              </w:rPr>
            </w:pPr>
            <w:r>
              <w:rPr>
                <w:rFonts w:hint="eastAsia" w:ascii="宋体" w:hAnsi="宋体" w:eastAsia="宋体" w:cs="宋体"/>
                <w:kern w:val="0"/>
                <w:szCs w:val="21"/>
                <w:lang w:eastAsia="zh-CN"/>
              </w:rPr>
              <w:t>（</w:t>
            </w:r>
            <w:r>
              <w:rPr>
                <w:rFonts w:hint="eastAsia" w:ascii="宋体" w:hAnsi="宋体" w:eastAsia="宋体" w:cs="宋体"/>
                <w:kern w:val="0"/>
                <w:szCs w:val="21"/>
              </w:rPr>
              <w:t>好10分</w:t>
            </w:r>
            <w:r>
              <w:rPr>
                <w:rFonts w:hint="eastAsia" w:ascii="宋体" w:hAnsi="宋体" w:eastAsia="宋体" w:cs="宋体"/>
                <w:kern w:val="0"/>
                <w:szCs w:val="21"/>
                <w:lang w:eastAsia="zh-CN"/>
              </w:rPr>
              <w:t>；</w:t>
            </w:r>
            <w:r>
              <w:rPr>
                <w:rFonts w:hint="eastAsia" w:ascii="宋体" w:hAnsi="宋体" w:eastAsia="宋体" w:cs="宋体"/>
                <w:kern w:val="0"/>
                <w:szCs w:val="21"/>
              </w:rPr>
              <w:t>较好6</w:t>
            </w:r>
            <w:r>
              <w:rPr>
                <w:rFonts w:hint="eastAsia" w:ascii="宋体" w:hAnsi="宋体" w:eastAsia="宋体" w:cs="宋体"/>
                <w:kern w:val="0"/>
                <w:szCs w:val="21"/>
                <w:lang w:eastAsia="zh-CN"/>
              </w:rPr>
              <w:t>—</w:t>
            </w:r>
            <w:r>
              <w:rPr>
                <w:rFonts w:hint="eastAsia" w:ascii="宋体" w:hAnsi="宋体" w:eastAsia="宋体" w:cs="宋体"/>
                <w:kern w:val="0"/>
                <w:szCs w:val="21"/>
              </w:rPr>
              <w:t>9分</w:t>
            </w:r>
            <w:r>
              <w:rPr>
                <w:rFonts w:hint="eastAsia" w:ascii="宋体" w:hAnsi="宋体" w:eastAsia="宋体" w:cs="宋体"/>
                <w:kern w:val="0"/>
                <w:szCs w:val="21"/>
                <w:lang w:eastAsia="zh-CN"/>
              </w:rPr>
              <w:t>；</w:t>
            </w:r>
            <w:r>
              <w:rPr>
                <w:rFonts w:hint="eastAsia" w:ascii="宋体" w:hAnsi="宋体" w:eastAsia="宋体" w:cs="宋体"/>
                <w:kern w:val="0"/>
                <w:szCs w:val="21"/>
              </w:rPr>
              <w:t xml:space="preserve"> 一般1</w:t>
            </w:r>
            <w:r>
              <w:rPr>
                <w:rFonts w:hint="eastAsia" w:ascii="宋体" w:hAnsi="宋体" w:eastAsia="宋体" w:cs="宋体"/>
                <w:kern w:val="0"/>
                <w:szCs w:val="21"/>
                <w:lang w:eastAsia="zh-CN"/>
              </w:rPr>
              <w:t>—</w:t>
            </w:r>
            <w:r>
              <w:rPr>
                <w:rFonts w:hint="eastAsia" w:ascii="宋体" w:hAnsi="宋体" w:eastAsia="宋体" w:cs="宋体"/>
                <w:kern w:val="0"/>
                <w:szCs w:val="21"/>
              </w:rPr>
              <w:t>5分</w:t>
            </w:r>
            <w:r>
              <w:rPr>
                <w:rFonts w:hint="eastAsia" w:ascii="宋体" w:hAnsi="宋体" w:eastAsia="宋体" w:cs="宋体"/>
                <w:kern w:val="0"/>
                <w:szCs w:val="21"/>
                <w:lang w:eastAsia="zh-CN"/>
              </w:rPr>
              <w:t>；</w:t>
            </w:r>
            <w:r>
              <w:rPr>
                <w:rFonts w:hint="eastAsia" w:ascii="宋体" w:hAnsi="宋体" w:eastAsia="宋体" w:cs="宋体"/>
                <w:kern w:val="0"/>
                <w:szCs w:val="21"/>
              </w:rPr>
              <w:t>不好0分</w:t>
            </w:r>
            <w:r>
              <w:rPr>
                <w:rFonts w:hint="eastAsia" w:ascii="宋体" w:hAnsi="宋体" w:eastAsia="宋体" w:cs="宋体"/>
                <w:kern w:val="0"/>
                <w:szCs w:val="21"/>
                <w:lang w:eastAsia="zh-CN"/>
              </w:rPr>
              <w:t>）</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860" w:hRule="atLeast"/>
        </w:trPr>
        <w:tc>
          <w:tcPr>
            <w:tcW w:w="362"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3001"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您所在的镇或村是否有投入德化县疫情防控资金项目？</w:t>
            </w:r>
          </w:p>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A.有  B.没有  </w:t>
            </w:r>
            <w:r>
              <w:rPr>
                <w:rFonts w:hint="eastAsia" w:ascii="宋体" w:hAnsi="宋体" w:eastAsia="宋体" w:cs="宋体"/>
                <w:kern w:val="0"/>
                <w:szCs w:val="21"/>
                <w:lang w:eastAsia="zh-CN"/>
              </w:rPr>
              <w:t>（</w:t>
            </w:r>
            <w:r>
              <w:rPr>
                <w:rFonts w:hint="eastAsia" w:ascii="宋体" w:hAnsi="宋体" w:eastAsia="宋体" w:cs="宋体"/>
                <w:kern w:val="0"/>
                <w:szCs w:val="21"/>
              </w:rPr>
              <w:t>有10分</w:t>
            </w:r>
            <w:r>
              <w:rPr>
                <w:rFonts w:hint="eastAsia" w:ascii="宋体" w:hAnsi="宋体" w:eastAsia="宋体" w:cs="宋体"/>
                <w:kern w:val="0"/>
                <w:szCs w:val="21"/>
                <w:lang w:eastAsia="zh-CN"/>
              </w:rPr>
              <w:t>；</w:t>
            </w:r>
            <w:r>
              <w:rPr>
                <w:rFonts w:hint="eastAsia" w:ascii="宋体" w:hAnsi="宋体" w:eastAsia="宋体" w:cs="宋体"/>
                <w:kern w:val="0"/>
                <w:szCs w:val="21"/>
              </w:rPr>
              <w:t>没有0分</w:t>
            </w:r>
            <w:r>
              <w:rPr>
                <w:rFonts w:hint="eastAsia" w:ascii="宋体" w:hAnsi="宋体" w:eastAsia="宋体" w:cs="宋体"/>
                <w:kern w:val="0"/>
                <w:szCs w:val="21"/>
                <w:lang w:eastAsia="zh-CN"/>
              </w:rPr>
              <w:t>）</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855" w:hRule="atLeast"/>
        </w:trPr>
        <w:tc>
          <w:tcPr>
            <w:tcW w:w="362"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6</w:t>
            </w:r>
          </w:p>
        </w:tc>
        <w:tc>
          <w:tcPr>
            <w:tcW w:w="3001"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szCs w:val="21"/>
              </w:rPr>
            </w:pPr>
            <w:r>
              <w:rPr>
                <w:rFonts w:hint="eastAsia" w:ascii="宋体" w:hAnsi="宋体" w:eastAsia="宋体" w:cs="宋体"/>
                <w:szCs w:val="21"/>
              </w:rPr>
              <w:t>您是否了解我市</w:t>
            </w:r>
            <w:r>
              <w:rPr>
                <w:rFonts w:hint="eastAsia" w:ascii="宋体" w:hAnsi="宋体" w:eastAsia="宋体" w:cs="宋体"/>
                <w:kern w:val="0"/>
                <w:szCs w:val="21"/>
              </w:rPr>
              <w:t>疫情防控资金项目未来发展规划？</w:t>
            </w:r>
          </w:p>
          <w:p>
            <w:pPr>
              <w:widowControl/>
              <w:jc w:val="left"/>
              <w:textAlignment w:val="center"/>
              <w:rPr>
                <w:rFonts w:ascii="宋体" w:hAnsi="宋体" w:eastAsia="宋体" w:cs="宋体"/>
                <w:szCs w:val="21"/>
              </w:rPr>
            </w:pPr>
            <w:r>
              <w:rPr>
                <w:rFonts w:hint="eastAsia" w:ascii="宋体" w:hAnsi="宋体" w:eastAsia="宋体" w:cs="宋体"/>
                <w:kern w:val="0"/>
                <w:szCs w:val="21"/>
              </w:rPr>
              <w:t>(A非常了解10分</w:t>
            </w:r>
            <w:r>
              <w:rPr>
                <w:rFonts w:hint="eastAsia" w:ascii="宋体" w:hAnsi="宋体" w:eastAsia="宋体" w:cs="宋体"/>
                <w:kern w:val="0"/>
                <w:szCs w:val="21"/>
                <w:lang w:eastAsia="zh-CN"/>
              </w:rPr>
              <w:t>；</w:t>
            </w:r>
            <w:r>
              <w:rPr>
                <w:rFonts w:hint="eastAsia" w:ascii="宋体" w:hAnsi="宋体" w:eastAsia="宋体" w:cs="宋体"/>
                <w:kern w:val="0"/>
                <w:szCs w:val="21"/>
              </w:rPr>
              <w:t>B了解6</w:t>
            </w:r>
            <w:r>
              <w:rPr>
                <w:rFonts w:hint="eastAsia" w:ascii="宋体" w:hAnsi="宋体" w:eastAsia="宋体" w:cs="宋体"/>
                <w:kern w:val="0"/>
                <w:szCs w:val="21"/>
                <w:lang w:eastAsia="zh-CN"/>
              </w:rPr>
              <w:t>—</w:t>
            </w:r>
            <w:r>
              <w:rPr>
                <w:rFonts w:hint="eastAsia" w:ascii="宋体" w:hAnsi="宋体" w:eastAsia="宋体" w:cs="宋体"/>
                <w:kern w:val="0"/>
                <w:szCs w:val="21"/>
              </w:rPr>
              <w:t>9分</w:t>
            </w:r>
            <w:r>
              <w:rPr>
                <w:rFonts w:hint="eastAsia" w:ascii="宋体" w:hAnsi="宋体" w:eastAsia="宋体" w:cs="宋体"/>
                <w:kern w:val="0"/>
                <w:szCs w:val="21"/>
                <w:lang w:eastAsia="zh-CN"/>
              </w:rPr>
              <w:t>；</w:t>
            </w:r>
            <w:r>
              <w:rPr>
                <w:rFonts w:hint="eastAsia" w:ascii="宋体" w:hAnsi="宋体" w:eastAsia="宋体" w:cs="宋体"/>
                <w:kern w:val="0"/>
                <w:szCs w:val="21"/>
              </w:rPr>
              <w:t xml:space="preserve"> C一般1</w:t>
            </w:r>
            <w:r>
              <w:rPr>
                <w:rFonts w:hint="eastAsia" w:ascii="宋体" w:hAnsi="宋体" w:eastAsia="宋体" w:cs="宋体"/>
                <w:kern w:val="0"/>
                <w:szCs w:val="21"/>
                <w:lang w:eastAsia="zh-CN"/>
              </w:rPr>
              <w:t>—</w:t>
            </w:r>
            <w:r>
              <w:rPr>
                <w:rFonts w:hint="eastAsia" w:ascii="宋体" w:hAnsi="宋体" w:eastAsia="宋体" w:cs="宋体"/>
                <w:kern w:val="0"/>
                <w:szCs w:val="21"/>
              </w:rPr>
              <w:t>5分</w:t>
            </w:r>
            <w:r>
              <w:rPr>
                <w:rFonts w:hint="eastAsia" w:ascii="宋体" w:hAnsi="宋体" w:eastAsia="宋体" w:cs="宋体"/>
                <w:kern w:val="0"/>
                <w:szCs w:val="21"/>
                <w:lang w:eastAsia="zh-CN"/>
              </w:rPr>
              <w:t>；</w:t>
            </w:r>
            <w:r>
              <w:rPr>
                <w:rFonts w:hint="eastAsia" w:ascii="宋体" w:hAnsi="宋体" w:eastAsia="宋体" w:cs="宋体"/>
                <w:kern w:val="0"/>
                <w:szCs w:val="21"/>
              </w:rPr>
              <w:t>D不了解0分</w:t>
            </w:r>
            <w:r>
              <w:rPr>
                <w:rFonts w:hint="eastAsia" w:ascii="宋体" w:hAnsi="宋体" w:eastAsia="宋体" w:cs="宋体"/>
                <w:kern w:val="0"/>
                <w:szCs w:val="21"/>
                <w:lang w:eastAsia="zh-CN"/>
              </w:rPr>
              <w:t>）</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925" w:hRule="atLeast"/>
        </w:trPr>
        <w:tc>
          <w:tcPr>
            <w:tcW w:w="362"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7</w:t>
            </w:r>
          </w:p>
        </w:tc>
        <w:tc>
          <w:tcPr>
            <w:tcW w:w="3001"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您认为</w:t>
            </w:r>
            <w:r>
              <w:rPr>
                <w:rFonts w:hint="eastAsia" w:ascii="宋体" w:hAnsi="宋体" w:eastAsia="宋体" w:cs="宋体"/>
                <w:szCs w:val="21"/>
              </w:rPr>
              <w:t>我市</w:t>
            </w:r>
            <w:r>
              <w:rPr>
                <w:rFonts w:hint="eastAsia" w:ascii="宋体" w:hAnsi="宋体" w:eastAsia="宋体" w:cs="宋体"/>
                <w:kern w:val="0"/>
                <w:szCs w:val="21"/>
              </w:rPr>
              <w:t>疫情防控资金项目实施的效率如何</w:t>
            </w:r>
            <w:r>
              <w:rPr>
                <w:rFonts w:hint="eastAsia" w:ascii="宋体" w:hAnsi="宋体" w:eastAsia="宋体" w:cs="宋体"/>
                <w:kern w:val="0"/>
                <w:szCs w:val="21"/>
                <w:lang w:eastAsia="zh-CN"/>
              </w:rPr>
              <w:t>？</w:t>
            </w:r>
          </w:p>
          <w:p>
            <w:pPr>
              <w:widowControl/>
              <w:jc w:val="left"/>
              <w:textAlignment w:val="center"/>
              <w:rPr>
                <w:rFonts w:ascii="宋体" w:hAnsi="宋体" w:eastAsia="宋体" w:cs="宋体"/>
                <w:szCs w:val="21"/>
              </w:rPr>
            </w:pPr>
            <w:r>
              <w:rPr>
                <w:rFonts w:hint="eastAsia" w:ascii="宋体" w:hAnsi="宋体" w:eastAsia="宋体" w:cs="宋体"/>
                <w:kern w:val="0"/>
                <w:szCs w:val="21"/>
                <w:lang w:eastAsia="zh-CN"/>
              </w:rPr>
              <w:t>（</w:t>
            </w:r>
            <w:r>
              <w:rPr>
                <w:rFonts w:hint="eastAsia" w:ascii="宋体" w:hAnsi="宋体" w:eastAsia="宋体" w:cs="宋体"/>
                <w:kern w:val="0"/>
                <w:szCs w:val="21"/>
              </w:rPr>
              <w:t>优10分，良8</w:t>
            </w:r>
            <w:r>
              <w:rPr>
                <w:rFonts w:hint="eastAsia" w:ascii="宋体" w:hAnsi="宋体" w:eastAsia="宋体" w:cs="宋体"/>
                <w:kern w:val="0"/>
                <w:szCs w:val="21"/>
                <w:lang w:eastAsia="zh-CN"/>
              </w:rPr>
              <w:t>—</w:t>
            </w:r>
            <w:r>
              <w:rPr>
                <w:rFonts w:hint="eastAsia" w:ascii="宋体" w:hAnsi="宋体" w:eastAsia="宋体" w:cs="宋体"/>
                <w:kern w:val="0"/>
                <w:szCs w:val="21"/>
              </w:rPr>
              <w:t>9分， 合格1</w:t>
            </w:r>
            <w:r>
              <w:rPr>
                <w:rFonts w:hint="eastAsia" w:ascii="宋体" w:hAnsi="宋体" w:eastAsia="宋体" w:cs="宋体"/>
                <w:kern w:val="0"/>
                <w:szCs w:val="21"/>
                <w:lang w:eastAsia="zh-CN"/>
              </w:rPr>
              <w:t>—</w:t>
            </w:r>
            <w:r>
              <w:rPr>
                <w:rFonts w:hint="eastAsia" w:ascii="宋体" w:hAnsi="宋体" w:eastAsia="宋体" w:cs="宋体"/>
                <w:kern w:val="0"/>
                <w:szCs w:val="21"/>
              </w:rPr>
              <w:t>7分，差0分</w:t>
            </w:r>
            <w:r>
              <w:rPr>
                <w:rFonts w:hint="eastAsia" w:ascii="宋体" w:hAnsi="宋体" w:eastAsia="宋体" w:cs="宋体"/>
                <w:kern w:val="0"/>
                <w:szCs w:val="21"/>
                <w:lang w:eastAsia="zh-CN"/>
              </w:rPr>
              <w:t>）</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850" w:hRule="atLeast"/>
        </w:trPr>
        <w:tc>
          <w:tcPr>
            <w:tcW w:w="362"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8</w:t>
            </w:r>
          </w:p>
        </w:tc>
        <w:tc>
          <w:tcPr>
            <w:tcW w:w="3001"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您对</w:t>
            </w:r>
            <w:r>
              <w:rPr>
                <w:rFonts w:hint="eastAsia" w:ascii="宋体" w:hAnsi="宋体" w:eastAsia="宋体" w:cs="宋体"/>
                <w:szCs w:val="21"/>
              </w:rPr>
              <w:t>我市</w:t>
            </w:r>
            <w:r>
              <w:rPr>
                <w:rFonts w:hint="eastAsia" w:ascii="宋体" w:hAnsi="宋体" w:eastAsia="宋体" w:cs="宋体"/>
                <w:kern w:val="0"/>
                <w:szCs w:val="21"/>
              </w:rPr>
              <w:t>疫情防控资金项目开展的工作是否满意？</w:t>
            </w:r>
          </w:p>
          <w:p>
            <w:pPr>
              <w:widowControl/>
              <w:jc w:val="left"/>
              <w:textAlignment w:val="center"/>
              <w:rPr>
                <w:rFonts w:ascii="宋体" w:hAnsi="宋体" w:eastAsia="宋体" w:cs="宋体"/>
                <w:szCs w:val="21"/>
              </w:rPr>
            </w:pPr>
            <w:r>
              <w:rPr>
                <w:rFonts w:hint="eastAsia" w:ascii="宋体" w:hAnsi="宋体" w:eastAsia="宋体" w:cs="宋体"/>
                <w:kern w:val="0"/>
                <w:szCs w:val="21"/>
              </w:rPr>
              <w:t>A.非常满意 10分 B.满意6</w:t>
            </w:r>
            <w:r>
              <w:rPr>
                <w:rFonts w:hint="eastAsia" w:ascii="宋体" w:hAnsi="宋体" w:eastAsia="宋体" w:cs="宋体"/>
                <w:kern w:val="0"/>
                <w:szCs w:val="21"/>
                <w:lang w:eastAsia="zh-CN"/>
              </w:rPr>
              <w:t>—</w:t>
            </w:r>
            <w:r>
              <w:rPr>
                <w:rFonts w:hint="eastAsia" w:ascii="宋体" w:hAnsi="宋体" w:eastAsia="宋体" w:cs="宋体"/>
                <w:kern w:val="0"/>
                <w:szCs w:val="21"/>
              </w:rPr>
              <w:t>9分 C.基本满意1</w:t>
            </w:r>
            <w:r>
              <w:rPr>
                <w:rFonts w:hint="eastAsia" w:ascii="宋体" w:hAnsi="宋体" w:eastAsia="宋体" w:cs="宋体"/>
                <w:kern w:val="0"/>
                <w:szCs w:val="21"/>
                <w:lang w:eastAsia="zh-CN"/>
              </w:rPr>
              <w:t>—</w:t>
            </w:r>
            <w:r>
              <w:rPr>
                <w:rFonts w:hint="eastAsia" w:ascii="宋体" w:hAnsi="宋体" w:eastAsia="宋体" w:cs="宋体"/>
                <w:kern w:val="0"/>
                <w:szCs w:val="21"/>
              </w:rPr>
              <w:t>7分D.不满意0分</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783" w:hRule="atLeast"/>
        </w:trPr>
        <w:tc>
          <w:tcPr>
            <w:tcW w:w="362"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9</w:t>
            </w:r>
          </w:p>
        </w:tc>
        <w:tc>
          <w:tcPr>
            <w:tcW w:w="3001"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您认为</w:t>
            </w:r>
            <w:r>
              <w:rPr>
                <w:rFonts w:hint="eastAsia" w:ascii="宋体" w:hAnsi="宋体" w:eastAsia="宋体" w:cs="宋体"/>
                <w:szCs w:val="21"/>
              </w:rPr>
              <w:t>我市</w:t>
            </w:r>
            <w:r>
              <w:rPr>
                <w:rFonts w:hint="eastAsia" w:ascii="宋体" w:hAnsi="宋体" w:eastAsia="宋体" w:cs="宋体"/>
                <w:kern w:val="0"/>
                <w:szCs w:val="21"/>
              </w:rPr>
              <w:t>疫情防控资金项目可持续发展效益如何</w:t>
            </w:r>
            <w:r>
              <w:rPr>
                <w:rFonts w:hint="eastAsia" w:ascii="宋体" w:hAnsi="宋体" w:eastAsia="宋体" w:cs="宋体"/>
                <w:kern w:val="0"/>
                <w:szCs w:val="21"/>
                <w:lang w:eastAsia="zh-CN"/>
              </w:rPr>
              <w:t>？</w:t>
            </w:r>
          </w:p>
          <w:p>
            <w:pPr>
              <w:widowControl/>
              <w:jc w:val="left"/>
              <w:textAlignment w:val="center"/>
              <w:rPr>
                <w:rFonts w:ascii="宋体" w:hAnsi="宋体" w:eastAsia="宋体" w:cs="宋体"/>
                <w:szCs w:val="21"/>
              </w:rPr>
            </w:pPr>
            <w:r>
              <w:rPr>
                <w:rFonts w:hint="eastAsia" w:ascii="宋体" w:hAnsi="宋体" w:eastAsia="宋体" w:cs="宋体"/>
                <w:kern w:val="0"/>
                <w:szCs w:val="21"/>
                <w:lang w:eastAsia="zh-CN"/>
              </w:rPr>
              <w:t>（</w:t>
            </w:r>
            <w:r>
              <w:rPr>
                <w:rFonts w:hint="eastAsia" w:ascii="宋体" w:hAnsi="宋体" w:eastAsia="宋体" w:cs="宋体"/>
                <w:kern w:val="0"/>
                <w:szCs w:val="21"/>
              </w:rPr>
              <w:t>效果显著 10分，较显著6</w:t>
            </w:r>
            <w:r>
              <w:rPr>
                <w:rFonts w:hint="eastAsia" w:ascii="宋体" w:hAnsi="宋体" w:eastAsia="宋体" w:cs="宋体"/>
                <w:kern w:val="0"/>
                <w:szCs w:val="21"/>
                <w:lang w:eastAsia="zh-CN"/>
              </w:rPr>
              <w:t>—</w:t>
            </w:r>
            <w:r>
              <w:rPr>
                <w:rFonts w:hint="eastAsia" w:ascii="宋体" w:hAnsi="宋体" w:eastAsia="宋体" w:cs="宋体"/>
                <w:kern w:val="0"/>
                <w:szCs w:val="21"/>
              </w:rPr>
              <w:t>9分，一般1</w:t>
            </w:r>
            <w:r>
              <w:rPr>
                <w:rFonts w:hint="eastAsia" w:ascii="宋体" w:hAnsi="宋体" w:eastAsia="宋体" w:cs="宋体"/>
                <w:kern w:val="0"/>
                <w:szCs w:val="21"/>
                <w:lang w:eastAsia="zh-CN"/>
              </w:rPr>
              <w:t>—</w:t>
            </w:r>
            <w:r>
              <w:rPr>
                <w:rFonts w:hint="eastAsia" w:ascii="宋体" w:hAnsi="宋体" w:eastAsia="宋体" w:cs="宋体"/>
                <w:kern w:val="0"/>
                <w:szCs w:val="21"/>
              </w:rPr>
              <w:t>5分，无效0分</w:t>
            </w:r>
            <w:r>
              <w:rPr>
                <w:rFonts w:hint="eastAsia" w:ascii="宋体" w:hAnsi="宋体" w:eastAsia="宋体" w:cs="宋体"/>
                <w:kern w:val="0"/>
                <w:szCs w:val="21"/>
                <w:lang w:eastAsia="zh-CN"/>
              </w:rPr>
              <w:t>）</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804" w:hRule="atLeast"/>
        </w:trPr>
        <w:tc>
          <w:tcPr>
            <w:tcW w:w="362"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3001"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left"/>
              <w:textAlignment w:val="center"/>
              <w:rPr>
                <w:rFonts w:ascii="宋体" w:hAnsi="宋体" w:eastAsia="宋体" w:cs="宋体"/>
                <w:szCs w:val="21"/>
              </w:rPr>
            </w:pPr>
            <w:r>
              <w:rPr>
                <w:rFonts w:hint="eastAsia" w:ascii="宋体" w:hAnsi="宋体" w:eastAsia="宋体" w:cs="宋体"/>
                <w:szCs w:val="21"/>
              </w:rPr>
              <w:t>您希望今后继续加大我</w:t>
            </w:r>
            <w:r>
              <w:rPr>
                <w:rFonts w:hint="eastAsia" w:ascii="宋体" w:hAnsi="宋体" w:eastAsia="宋体" w:cs="宋体"/>
                <w:kern w:val="0"/>
                <w:szCs w:val="21"/>
              </w:rPr>
              <w:t>市疫情防控资金项目吗？</w:t>
            </w:r>
          </w:p>
          <w:p>
            <w:pPr>
              <w:widowControl/>
              <w:jc w:val="left"/>
              <w:textAlignment w:val="center"/>
              <w:rPr>
                <w:rFonts w:ascii="宋体" w:hAnsi="宋体" w:eastAsia="宋体" w:cs="宋体"/>
                <w:szCs w:val="21"/>
              </w:rPr>
            </w:pPr>
            <w:r>
              <w:rPr>
                <w:rFonts w:hint="eastAsia" w:ascii="宋体" w:hAnsi="宋体" w:eastAsia="宋体" w:cs="宋体"/>
                <w:szCs w:val="21"/>
              </w:rPr>
              <w:t>A.是</w:t>
            </w:r>
            <w:r>
              <w:rPr>
                <w:rFonts w:hint="eastAsia" w:ascii="宋体" w:hAnsi="宋体" w:eastAsia="宋体" w:cs="宋体"/>
                <w:kern w:val="0"/>
                <w:szCs w:val="21"/>
              </w:rPr>
              <w:t>10分</w:t>
            </w:r>
            <w:r>
              <w:rPr>
                <w:rFonts w:hint="eastAsia" w:ascii="宋体" w:hAnsi="宋体" w:eastAsia="宋体" w:cs="宋体"/>
                <w:szCs w:val="21"/>
              </w:rPr>
              <w:t xml:space="preserve"> B 否 </w:t>
            </w:r>
            <w:r>
              <w:rPr>
                <w:rFonts w:hint="eastAsia" w:ascii="宋体" w:hAnsi="宋体" w:eastAsia="宋体" w:cs="宋体"/>
                <w:kern w:val="0"/>
                <w:szCs w:val="21"/>
              </w:rPr>
              <w:t>0分</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404040" w:sz="8"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747" w:hRule="atLeast"/>
        </w:trPr>
        <w:tc>
          <w:tcPr>
            <w:tcW w:w="362" w:type="pct"/>
            <w:tcBorders>
              <w:top w:val="single" w:color="404040" w:sz="8" w:space="0"/>
              <w:left w:val="single" w:color="FEFEFE" w:sz="8" w:space="0"/>
              <w:bottom w:val="single" w:color="auto" w:sz="4" w:space="0"/>
              <w:right w:val="single" w:color="FEFEFE" w:sz="8" w:space="0"/>
            </w:tcBorders>
            <w:shd w:val="clear" w:color="auto" w:fill="FEFEFE"/>
            <w:vAlign w:val="center"/>
          </w:tcPr>
          <w:p>
            <w:pPr>
              <w:jc w:val="center"/>
              <w:rPr>
                <w:rFonts w:ascii="宋体" w:hAnsi="宋体" w:eastAsia="宋体" w:cs="宋体"/>
                <w:szCs w:val="21"/>
              </w:rPr>
            </w:pPr>
          </w:p>
        </w:tc>
        <w:tc>
          <w:tcPr>
            <w:tcW w:w="3001" w:type="pct"/>
            <w:tcBorders>
              <w:top w:val="single" w:color="404040" w:sz="8" w:space="0"/>
              <w:left w:val="single" w:color="FEFEFE" w:sz="8" w:space="0"/>
              <w:bottom w:val="single" w:color="auto" w:sz="4"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合 计</w:t>
            </w:r>
          </w:p>
        </w:tc>
        <w:tc>
          <w:tcPr>
            <w:tcW w:w="545" w:type="pct"/>
            <w:tcBorders>
              <w:top w:val="single" w:color="404040" w:sz="8" w:space="0"/>
              <w:left w:val="single" w:color="FEFEFE" w:sz="8" w:space="0"/>
              <w:bottom w:val="single" w:color="auto" w:sz="4" w:space="0"/>
              <w:right w:val="single" w:color="FEFEFE" w:sz="8" w:space="0"/>
            </w:tcBorders>
            <w:shd w:val="clear" w:color="auto" w:fill="FEFEFE"/>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100</w:t>
            </w:r>
          </w:p>
        </w:tc>
        <w:tc>
          <w:tcPr>
            <w:tcW w:w="545" w:type="pct"/>
            <w:tcBorders>
              <w:top w:val="single" w:color="404040" w:sz="8" w:space="0"/>
              <w:left w:val="single" w:color="FEFEFE" w:sz="8" w:space="0"/>
              <w:bottom w:val="single" w:color="auto" w:sz="4"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c>
          <w:tcPr>
            <w:tcW w:w="545" w:type="pct"/>
            <w:tcBorders>
              <w:top w:val="single" w:color="404040" w:sz="8" w:space="0"/>
              <w:left w:val="single" w:color="FEFEFE" w:sz="8" w:space="0"/>
              <w:bottom w:val="single" w:color="auto" w:sz="4" w:space="0"/>
              <w:right w:val="single" w:color="FEFEFE" w:sz="8" w:space="0"/>
            </w:tcBorders>
            <w:shd w:val="clear" w:color="auto" w:fill="FEFEFE"/>
            <w:vAlign w:val="center"/>
          </w:tcPr>
          <w:p>
            <w:pPr>
              <w:widowControl/>
              <w:jc w:val="center"/>
              <w:textAlignment w:val="center"/>
              <w:rPr>
                <w:rFonts w:ascii="宋体" w:hAnsi="宋体" w:eastAsia="宋体" w:cs="宋体"/>
                <w:kern w:val="0"/>
                <w:szCs w:val="21"/>
              </w:rPr>
            </w:pPr>
          </w:p>
        </w:tc>
      </w:tr>
    </w:tbl>
    <w:p>
      <w:pPr>
        <w:spacing w:line="360" w:lineRule="auto"/>
        <w:ind w:firstLine="578" w:firstLineChars="200"/>
        <w:jc w:val="left"/>
        <w:rPr>
          <w:rFonts w:hint="eastAsia" w:ascii="Times New Roman" w:hAnsi="仿宋" w:eastAsia="宋体" w:cs="仿宋"/>
          <w:b/>
          <w:bCs/>
          <w:sz w:val="28"/>
          <w:szCs w:val="32"/>
        </w:rPr>
      </w:pPr>
      <w:r>
        <w:rPr>
          <w:rFonts w:hint="eastAsia" w:ascii="Times New Roman" w:hAnsi="仿宋" w:eastAsia="宋体" w:cs="宋体"/>
          <w:b/>
          <w:spacing w:val="4"/>
          <w:sz w:val="28"/>
          <w:szCs w:val="28"/>
        </w:rPr>
        <w:t xml:space="preserve">  </w:t>
      </w:r>
    </w:p>
    <w:p>
      <w:pPr>
        <w:pStyle w:val="10"/>
        <w:spacing w:line="336" w:lineRule="auto"/>
        <w:outlineLvl w:val="0"/>
        <w:rPr>
          <w:rFonts w:ascii="Times New Roman" w:hAnsi="仿宋" w:eastAsia="宋体" w:cs="仿宋"/>
          <w:b w:val="0"/>
          <w:bCs w:val="0"/>
          <w:sz w:val="28"/>
          <w:szCs w:val="32"/>
        </w:rPr>
      </w:pPr>
      <w:bookmarkStart w:id="151" w:name="_Toc14692"/>
      <w:r>
        <w:rPr>
          <w:rFonts w:hint="eastAsia" w:ascii="Times New Roman" w:hAnsi="仿宋" w:eastAsia="宋体" w:cs="仿宋"/>
          <w:b w:val="0"/>
          <w:bCs w:val="0"/>
          <w:sz w:val="28"/>
          <w:szCs w:val="32"/>
        </w:rPr>
        <w:t>附件</w:t>
      </w:r>
      <w:r>
        <w:rPr>
          <w:rFonts w:hint="eastAsia" w:ascii="Times New Roman" w:hAnsi="仿宋" w:eastAsia="宋体" w:cs="仿宋"/>
          <w:b w:val="0"/>
          <w:bCs w:val="0"/>
          <w:sz w:val="28"/>
          <w:szCs w:val="32"/>
          <w:lang w:val="en-US" w:eastAsia="zh-CN"/>
        </w:rPr>
        <w:t>2</w:t>
      </w:r>
      <w:r>
        <w:rPr>
          <w:rFonts w:hint="eastAsia" w:ascii="Times New Roman" w:hAnsi="仿宋" w:eastAsia="宋体" w:cs="仿宋"/>
          <w:b w:val="0"/>
          <w:bCs w:val="0"/>
          <w:sz w:val="28"/>
          <w:szCs w:val="32"/>
        </w:rPr>
        <w:t>：德化县疫情防控资金项目实地调研</w:t>
      </w:r>
      <w:bookmarkEnd w:id="151"/>
    </w:p>
    <w:p>
      <w:pPr>
        <w:rPr>
          <w:rFonts w:ascii="Times New Roman" w:eastAsia="宋体"/>
          <w:sz w:val="28"/>
        </w:rPr>
      </w:pPr>
      <w:r>
        <w:rPr>
          <w:rFonts w:hint="eastAsia" w:ascii="Times New Roman" w:eastAsia="宋体" w:hAnsiTheme="majorEastAsia" w:cstheme="majorEastAsia"/>
          <w:sz w:val="28"/>
          <w:szCs w:val="32"/>
        </w:rPr>
        <w:drawing>
          <wp:anchor distT="0" distB="0" distL="114300" distR="114300" simplePos="0" relativeHeight="251661312" behindDoc="1" locked="0" layoutInCell="1" allowOverlap="1">
            <wp:simplePos x="0" y="0"/>
            <wp:positionH relativeFrom="column">
              <wp:posOffset>-276860</wp:posOffset>
            </wp:positionH>
            <wp:positionV relativeFrom="paragraph">
              <wp:posOffset>109855</wp:posOffset>
            </wp:positionV>
            <wp:extent cx="2785110" cy="2160270"/>
            <wp:effectExtent l="0" t="0" r="53340" b="11430"/>
            <wp:wrapTight wrapText="bothSides">
              <wp:wrapPolygon>
                <wp:start x="0" y="0"/>
                <wp:lineTo x="0" y="21333"/>
                <wp:lineTo x="21423" y="21333"/>
                <wp:lineTo x="21423" y="0"/>
                <wp:lineTo x="0" y="0"/>
              </wp:wrapPolygon>
            </wp:wrapTight>
            <wp:docPr id="11" name="图片 11" descr="微信图片_20231017211400"/>
            <wp:cNvGraphicFramePr/>
            <a:graphic xmlns:a="http://schemas.openxmlformats.org/drawingml/2006/main">
              <a:graphicData uri="http://schemas.openxmlformats.org/drawingml/2006/picture">
                <pic:pic xmlns:pic="http://schemas.openxmlformats.org/drawingml/2006/picture">
                  <pic:nvPicPr>
                    <pic:cNvPr id="11" name="图片 11" descr="微信图片_20231017211400"/>
                    <pic:cNvPicPr/>
                  </pic:nvPicPr>
                  <pic:blipFill>
                    <a:blip r:embed="rId7"/>
                    <a:stretch>
                      <a:fillRect/>
                    </a:stretch>
                  </pic:blipFill>
                  <pic:spPr>
                    <a:xfrm>
                      <a:off x="0" y="0"/>
                      <a:ext cx="2785110" cy="2160270"/>
                    </a:xfrm>
                    <a:prstGeom prst="rect">
                      <a:avLst/>
                    </a:prstGeom>
                  </pic:spPr>
                </pic:pic>
              </a:graphicData>
            </a:graphic>
          </wp:anchor>
        </w:drawing>
      </w:r>
      <w:r>
        <w:rPr>
          <w:rFonts w:hint="eastAsia" w:ascii="Times New Roman" w:eastAsia="宋体"/>
          <w:color w:val="FFFFFF" w:themeColor="background1"/>
          <w:sz w:val="28"/>
          <w14:textFill>
            <w14:noFill/>
          </w14:textFill>
        </w:rPr>
        <w:drawing>
          <wp:anchor distT="0" distB="0" distL="114300" distR="114300" simplePos="0" relativeHeight="251663360" behindDoc="1" locked="0" layoutInCell="1" allowOverlap="1">
            <wp:simplePos x="0" y="0"/>
            <wp:positionH relativeFrom="column">
              <wp:posOffset>3036570</wp:posOffset>
            </wp:positionH>
            <wp:positionV relativeFrom="paragraph">
              <wp:posOffset>86995</wp:posOffset>
            </wp:positionV>
            <wp:extent cx="2635250" cy="2160270"/>
            <wp:effectExtent l="0" t="0" r="50800" b="11430"/>
            <wp:wrapTight wrapText="bothSides">
              <wp:wrapPolygon>
                <wp:start x="0" y="0"/>
                <wp:lineTo x="0" y="21333"/>
                <wp:lineTo x="21392" y="21333"/>
                <wp:lineTo x="21392" y="0"/>
                <wp:lineTo x="0" y="0"/>
              </wp:wrapPolygon>
            </wp:wrapTight>
            <wp:docPr id="13" name="图片 13" descr="微信图片_20231017213447"/>
            <wp:cNvGraphicFramePr/>
            <a:graphic xmlns:a="http://schemas.openxmlformats.org/drawingml/2006/main">
              <a:graphicData uri="http://schemas.openxmlformats.org/drawingml/2006/picture">
                <pic:pic xmlns:pic="http://schemas.openxmlformats.org/drawingml/2006/picture">
                  <pic:nvPicPr>
                    <pic:cNvPr id="13" name="图片 13" descr="微信图片_20231017213447"/>
                    <pic:cNvPicPr/>
                  </pic:nvPicPr>
                  <pic:blipFill>
                    <a:blip r:embed="rId8"/>
                    <a:stretch>
                      <a:fillRect/>
                    </a:stretch>
                  </pic:blipFill>
                  <pic:spPr>
                    <a:xfrm>
                      <a:off x="0" y="0"/>
                      <a:ext cx="2635250" cy="2160270"/>
                    </a:xfrm>
                    <a:prstGeom prst="rect">
                      <a:avLst/>
                    </a:prstGeom>
                  </pic:spPr>
                </pic:pic>
              </a:graphicData>
            </a:graphic>
          </wp:anchor>
        </w:drawing>
      </w:r>
    </w:p>
    <w:p>
      <w:pPr>
        <w:spacing w:line="360" w:lineRule="auto"/>
        <w:ind w:firstLine="560" w:firstLineChars="200"/>
        <w:jc w:val="left"/>
        <w:rPr>
          <w:rFonts w:ascii="Times New Roman" w:eastAsia="宋体"/>
          <w:sz w:val="28"/>
        </w:rPr>
      </w:pPr>
    </w:p>
    <w:p>
      <w:pPr>
        <w:pStyle w:val="7"/>
        <w:spacing w:before="0" w:after="0" w:line="240" w:lineRule="auto"/>
        <w:jc w:val="distribute"/>
        <w:outlineLvl w:val="9"/>
        <w:rPr>
          <w:rFonts w:ascii="Times New Roman" w:eastAsia="宋体"/>
          <w:color w:val="FFFFFF" w:themeColor="background1"/>
          <w14:textFill>
            <w14:noFill/>
          </w14:textFill>
        </w:rPr>
        <w:sectPr>
          <w:footerReference r:id="rId5" w:type="default"/>
          <w:pgSz w:w="11906" w:h="16838"/>
          <w:pgMar w:top="1440" w:right="1587" w:bottom="1440" w:left="1587" w:header="851" w:footer="992" w:gutter="0"/>
          <w:pgNumType w:start="1"/>
          <w:cols w:space="425" w:num="1"/>
          <w:docGrid w:type="lines" w:linePitch="312" w:charSpace="0"/>
        </w:sectPr>
      </w:pPr>
      <w:r>
        <w:rPr>
          <w:rFonts w:hint="eastAsia" w:ascii="Times New Roman" w:eastAsia="宋体"/>
          <w:color w:val="FFFFFF" w:themeColor="background1"/>
          <w14:textFill>
            <w14:noFill/>
          </w14:textFill>
        </w:rPr>
        <w:drawing>
          <wp:anchor distT="0" distB="0" distL="114300" distR="114300" simplePos="0" relativeHeight="251660288" behindDoc="1" locked="0" layoutInCell="1" allowOverlap="1">
            <wp:simplePos x="0" y="0"/>
            <wp:positionH relativeFrom="column">
              <wp:posOffset>-2866390</wp:posOffset>
            </wp:positionH>
            <wp:positionV relativeFrom="paragraph">
              <wp:posOffset>4587875</wp:posOffset>
            </wp:positionV>
            <wp:extent cx="2879725" cy="2160270"/>
            <wp:effectExtent l="0" t="0" r="635" b="3810"/>
            <wp:wrapTight wrapText="bothSides">
              <wp:wrapPolygon>
                <wp:start x="0" y="0"/>
                <wp:lineTo x="0" y="21486"/>
                <wp:lineTo x="21490" y="21486"/>
                <wp:lineTo x="21490" y="0"/>
                <wp:lineTo x="0" y="0"/>
              </wp:wrapPolygon>
            </wp:wrapTight>
            <wp:docPr id="10" name="图片 10" descr="微信图片_20231017211331"/>
            <wp:cNvGraphicFramePr/>
            <a:graphic xmlns:a="http://schemas.openxmlformats.org/drawingml/2006/main">
              <a:graphicData uri="http://schemas.openxmlformats.org/drawingml/2006/picture">
                <pic:pic xmlns:pic="http://schemas.openxmlformats.org/drawingml/2006/picture">
                  <pic:nvPicPr>
                    <pic:cNvPr id="10" name="图片 10" descr="微信图片_20231017211331"/>
                    <pic:cNvPicPr/>
                  </pic:nvPicPr>
                  <pic:blipFill>
                    <a:blip r:embed="rId9"/>
                    <a:stretch>
                      <a:fillRect/>
                    </a:stretch>
                  </pic:blipFill>
                  <pic:spPr>
                    <a:xfrm>
                      <a:off x="0" y="0"/>
                      <a:ext cx="2879725" cy="2160270"/>
                    </a:xfrm>
                    <a:prstGeom prst="rect">
                      <a:avLst/>
                    </a:prstGeom>
                  </pic:spPr>
                </pic:pic>
              </a:graphicData>
            </a:graphic>
          </wp:anchor>
        </w:drawing>
      </w:r>
      <w:r>
        <w:rPr>
          <w:rFonts w:hint="eastAsia" w:ascii="Times New Roman" w:eastAsia="宋体" w:hAnsiTheme="majorEastAsia" w:cstheme="majorEastAsia"/>
          <w:szCs w:val="32"/>
        </w:rPr>
        <w:drawing>
          <wp:anchor distT="0" distB="0" distL="114300" distR="114300" simplePos="0" relativeHeight="251664384" behindDoc="1" locked="0" layoutInCell="1" allowOverlap="1">
            <wp:simplePos x="0" y="0"/>
            <wp:positionH relativeFrom="column">
              <wp:posOffset>294640</wp:posOffset>
            </wp:positionH>
            <wp:positionV relativeFrom="paragraph">
              <wp:posOffset>4594860</wp:posOffset>
            </wp:positionV>
            <wp:extent cx="2879725" cy="2160270"/>
            <wp:effectExtent l="0" t="0" r="635" b="3810"/>
            <wp:wrapTight wrapText="bothSides">
              <wp:wrapPolygon>
                <wp:start x="0" y="0"/>
                <wp:lineTo x="0" y="21486"/>
                <wp:lineTo x="21490" y="21486"/>
                <wp:lineTo x="21490" y="0"/>
                <wp:lineTo x="0" y="0"/>
              </wp:wrapPolygon>
            </wp:wrapTight>
            <wp:docPr id="15" name="图片 15" descr="微信图片_20231017224226"/>
            <wp:cNvGraphicFramePr/>
            <a:graphic xmlns:a="http://schemas.openxmlformats.org/drawingml/2006/main">
              <a:graphicData uri="http://schemas.openxmlformats.org/drawingml/2006/picture">
                <pic:pic xmlns:pic="http://schemas.openxmlformats.org/drawingml/2006/picture">
                  <pic:nvPicPr>
                    <pic:cNvPr id="15" name="图片 15" descr="微信图片_20231017224226"/>
                    <pic:cNvPicPr/>
                  </pic:nvPicPr>
                  <pic:blipFill>
                    <a:blip r:embed="rId10"/>
                    <a:stretch>
                      <a:fillRect/>
                    </a:stretch>
                  </pic:blipFill>
                  <pic:spPr>
                    <a:xfrm>
                      <a:off x="0" y="0"/>
                      <a:ext cx="2879725" cy="2160270"/>
                    </a:xfrm>
                    <a:prstGeom prst="rect">
                      <a:avLst/>
                    </a:prstGeom>
                  </pic:spPr>
                </pic:pic>
              </a:graphicData>
            </a:graphic>
          </wp:anchor>
        </w:drawing>
      </w:r>
      <w:r>
        <w:rPr>
          <w:rFonts w:hint="eastAsia" w:ascii="Times New Roman" w:eastAsia="宋体"/>
          <w:color w:val="FFFFFF" w:themeColor="background1"/>
          <w14:textFill>
            <w14:noFill/>
          </w14:textFill>
        </w:rPr>
        <w:drawing>
          <wp:anchor distT="0" distB="0" distL="114300" distR="114300" simplePos="0" relativeHeight="251659264" behindDoc="1" locked="0" layoutInCell="1" allowOverlap="1">
            <wp:simplePos x="0" y="0"/>
            <wp:positionH relativeFrom="column">
              <wp:posOffset>268605</wp:posOffset>
            </wp:positionH>
            <wp:positionV relativeFrom="paragraph">
              <wp:posOffset>1902460</wp:posOffset>
            </wp:positionV>
            <wp:extent cx="2879725" cy="2160270"/>
            <wp:effectExtent l="0" t="0" r="635" b="3810"/>
            <wp:wrapTight wrapText="bothSides">
              <wp:wrapPolygon>
                <wp:start x="0" y="0"/>
                <wp:lineTo x="0" y="21486"/>
                <wp:lineTo x="21490" y="21486"/>
                <wp:lineTo x="21490" y="0"/>
                <wp:lineTo x="0" y="0"/>
              </wp:wrapPolygon>
            </wp:wrapTight>
            <wp:docPr id="8" name="图片 8" descr="微信图片_20231017211320"/>
            <wp:cNvGraphicFramePr/>
            <a:graphic xmlns:a="http://schemas.openxmlformats.org/drawingml/2006/main">
              <a:graphicData uri="http://schemas.openxmlformats.org/drawingml/2006/picture">
                <pic:pic xmlns:pic="http://schemas.openxmlformats.org/drawingml/2006/picture">
                  <pic:nvPicPr>
                    <pic:cNvPr id="8" name="图片 8" descr="微信图片_20231017211320"/>
                    <pic:cNvPicPr/>
                  </pic:nvPicPr>
                  <pic:blipFill>
                    <a:blip r:embed="rId11"/>
                    <a:stretch>
                      <a:fillRect/>
                    </a:stretch>
                  </pic:blipFill>
                  <pic:spPr>
                    <a:xfrm>
                      <a:off x="0" y="0"/>
                      <a:ext cx="2879725" cy="2160270"/>
                    </a:xfrm>
                    <a:prstGeom prst="rect">
                      <a:avLst/>
                    </a:prstGeom>
                  </pic:spPr>
                </pic:pic>
              </a:graphicData>
            </a:graphic>
          </wp:anchor>
        </w:drawing>
      </w:r>
      <w:r>
        <w:rPr>
          <w:rFonts w:hint="eastAsia" w:ascii="Times New Roman" w:eastAsia="宋体"/>
          <w:color w:val="FFFFFF" w:themeColor="background1"/>
          <w14:textFill>
            <w14:noFill/>
          </w14:textFill>
        </w:rPr>
        <w:drawing>
          <wp:anchor distT="0" distB="0" distL="114300" distR="114300" simplePos="0" relativeHeight="251662336" behindDoc="1" locked="0" layoutInCell="1" allowOverlap="1">
            <wp:simplePos x="0" y="0"/>
            <wp:positionH relativeFrom="column">
              <wp:posOffset>-2903855</wp:posOffset>
            </wp:positionH>
            <wp:positionV relativeFrom="paragraph">
              <wp:posOffset>1987550</wp:posOffset>
            </wp:positionV>
            <wp:extent cx="2879725" cy="2160270"/>
            <wp:effectExtent l="0" t="0" r="635" b="3810"/>
            <wp:wrapTight wrapText="bothSides">
              <wp:wrapPolygon>
                <wp:start x="0" y="0"/>
                <wp:lineTo x="0" y="21486"/>
                <wp:lineTo x="21490" y="21486"/>
                <wp:lineTo x="21490" y="0"/>
                <wp:lineTo x="0" y="0"/>
              </wp:wrapPolygon>
            </wp:wrapTight>
            <wp:docPr id="12" name="图片 12" descr="微信图片_20231017211338"/>
            <wp:cNvGraphicFramePr/>
            <a:graphic xmlns:a="http://schemas.openxmlformats.org/drawingml/2006/main">
              <a:graphicData uri="http://schemas.openxmlformats.org/drawingml/2006/picture">
                <pic:pic xmlns:pic="http://schemas.openxmlformats.org/drawingml/2006/picture">
                  <pic:nvPicPr>
                    <pic:cNvPr id="12" name="图片 12" descr="微信图片_20231017211338"/>
                    <pic:cNvPicPr/>
                  </pic:nvPicPr>
                  <pic:blipFill>
                    <a:blip r:embed="rId12"/>
                    <a:stretch>
                      <a:fillRect/>
                    </a:stretch>
                  </pic:blipFill>
                  <pic:spPr>
                    <a:xfrm>
                      <a:off x="0" y="0"/>
                      <a:ext cx="2879725" cy="2160270"/>
                    </a:xfrm>
                    <a:prstGeom prst="rect">
                      <a:avLst/>
                    </a:prstGeom>
                  </pic:spPr>
                </pic:pic>
              </a:graphicData>
            </a:graphic>
          </wp:anchor>
        </w:drawing>
      </w:r>
    </w:p>
    <w:p>
      <w:pPr>
        <w:pStyle w:val="7"/>
        <w:spacing w:before="0" w:after="0" w:line="240" w:lineRule="auto"/>
        <w:jc w:val="distribute"/>
        <w:outlineLvl w:val="9"/>
        <w:rPr>
          <w:rFonts w:ascii="Times New Roman" w:eastAsia="宋体"/>
        </w:rPr>
      </w:pPr>
      <w:r>
        <w:rPr>
          <w:rFonts w:hint="eastAsia" w:ascii="Times New Roman" w:eastAsia="宋体"/>
        </w:rPr>
        <w:drawing>
          <wp:anchor distT="0" distB="0" distL="114300" distR="114300" simplePos="0" relativeHeight="251666432" behindDoc="0" locked="0" layoutInCell="1" allowOverlap="1">
            <wp:simplePos x="0" y="0"/>
            <wp:positionH relativeFrom="column">
              <wp:posOffset>121285</wp:posOffset>
            </wp:positionH>
            <wp:positionV relativeFrom="paragraph">
              <wp:posOffset>-341630</wp:posOffset>
            </wp:positionV>
            <wp:extent cx="2879725" cy="2160270"/>
            <wp:effectExtent l="0" t="0" r="635" b="3810"/>
            <wp:wrapNone/>
            <wp:docPr id="4" name="图片 4" descr="微信图片_20231018224926"/>
            <wp:cNvGraphicFramePr/>
            <a:graphic xmlns:a="http://schemas.openxmlformats.org/drawingml/2006/main">
              <a:graphicData uri="http://schemas.openxmlformats.org/drawingml/2006/picture">
                <pic:pic xmlns:pic="http://schemas.openxmlformats.org/drawingml/2006/picture">
                  <pic:nvPicPr>
                    <pic:cNvPr id="4" name="图片 4" descr="微信图片_20231018224926"/>
                    <pic:cNvPicPr/>
                  </pic:nvPicPr>
                  <pic:blipFill>
                    <a:blip r:embed="rId13"/>
                    <a:stretch>
                      <a:fillRect/>
                    </a:stretch>
                  </pic:blipFill>
                  <pic:spPr>
                    <a:xfrm>
                      <a:off x="0" y="0"/>
                      <a:ext cx="2879725" cy="2160270"/>
                    </a:xfrm>
                    <a:prstGeom prst="rect">
                      <a:avLst/>
                    </a:prstGeom>
                  </pic:spPr>
                </pic:pic>
              </a:graphicData>
            </a:graphic>
          </wp:anchor>
        </w:drawing>
      </w:r>
      <w:r>
        <w:rPr>
          <w:rFonts w:hint="eastAsia" w:ascii="Times New Roman" w:eastAsia="宋体"/>
        </w:rPr>
        <w:drawing>
          <wp:anchor distT="0" distB="0" distL="114300" distR="114300" simplePos="0" relativeHeight="251665408" behindDoc="1" locked="0" layoutInCell="1" allowOverlap="1">
            <wp:simplePos x="0" y="0"/>
            <wp:positionH relativeFrom="column">
              <wp:posOffset>-240030</wp:posOffset>
            </wp:positionH>
            <wp:positionV relativeFrom="paragraph">
              <wp:posOffset>-353060</wp:posOffset>
            </wp:positionV>
            <wp:extent cx="2879725" cy="2160270"/>
            <wp:effectExtent l="0" t="0" r="635" b="3810"/>
            <wp:wrapTight wrapText="bothSides">
              <wp:wrapPolygon>
                <wp:start x="0" y="0"/>
                <wp:lineTo x="0" y="21486"/>
                <wp:lineTo x="21490" y="21486"/>
                <wp:lineTo x="21490" y="0"/>
                <wp:lineTo x="0" y="0"/>
              </wp:wrapPolygon>
            </wp:wrapTight>
            <wp:docPr id="1" name="图片 1" descr="微信图片_20231018224934"/>
            <wp:cNvGraphicFramePr/>
            <a:graphic xmlns:a="http://schemas.openxmlformats.org/drawingml/2006/main">
              <a:graphicData uri="http://schemas.openxmlformats.org/drawingml/2006/picture">
                <pic:pic xmlns:pic="http://schemas.openxmlformats.org/drawingml/2006/picture">
                  <pic:nvPicPr>
                    <pic:cNvPr id="1" name="图片 1" descr="微信图片_20231018224934"/>
                    <pic:cNvPicPr/>
                  </pic:nvPicPr>
                  <pic:blipFill>
                    <a:blip r:embed="rId14"/>
                    <a:stretch>
                      <a:fillRect/>
                    </a:stretch>
                  </pic:blipFill>
                  <pic:spPr>
                    <a:xfrm>
                      <a:off x="0" y="0"/>
                      <a:ext cx="2879725" cy="2160270"/>
                    </a:xfrm>
                    <a:prstGeom prst="rect">
                      <a:avLst/>
                    </a:prstGeom>
                  </pic:spPr>
                </pic:pic>
              </a:graphicData>
            </a:graphic>
          </wp:anchor>
        </w:drawing>
      </w:r>
    </w:p>
    <w:p>
      <w:pPr>
        <w:spacing w:line="360" w:lineRule="auto"/>
        <w:ind w:firstLine="560" w:firstLineChars="200"/>
        <w:jc w:val="left"/>
        <w:rPr>
          <w:rFonts w:ascii="Times New Roman" w:eastAsia="宋体"/>
          <w:sz w:val="28"/>
        </w:rPr>
      </w:pPr>
    </w:p>
    <w:p>
      <w:pPr>
        <w:spacing w:line="360" w:lineRule="auto"/>
        <w:ind w:firstLine="560" w:firstLineChars="200"/>
        <w:jc w:val="left"/>
        <w:rPr>
          <w:rFonts w:ascii="Times New Roman" w:eastAsia="宋体"/>
          <w:sz w:val="28"/>
        </w:rPr>
      </w:pPr>
    </w:p>
    <w:p>
      <w:pPr>
        <w:spacing w:line="360" w:lineRule="auto"/>
        <w:ind w:firstLine="560" w:firstLineChars="200"/>
        <w:jc w:val="left"/>
        <w:rPr>
          <w:rFonts w:ascii="Times New Roman" w:eastAsia="宋体"/>
          <w:sz w:val="28"/>
        </w:rPr>
      </w:pPr>
    </w:p>
    <w:p>
      <w:pPr>
        <w:spacing w:line="360" w:lineRule="auto"/>
        <w:ind w:firstLine="560" w:firstLineChars="200"/>
        <w:jc w:val="left"/>
        <w:rPr>
          <w:rFonts w:ascii="Times New Roman" w:eastAsia="宋体"/>
          <w:sz w:val="28"/>
        </w:rPr>
      </w:pPr>
    </w:p>
    <w:p>
      <w:pPr>
        <w:spacing w:line="360" w:lineRule="auto"/>
        <w:ind w:firstLine="420" w:firstLineChars="200"/>
        <w:jc w:val="left"/>
        <w:rPr>
          <w:rFonts w:ascii="Times New Roman" w:eastAsia="宋体"/>
          <w:sz w:val="28"/>
        </w:rPr>
      </w:pPr>
      <w:r>
        <w:rPr>
          <w:rFonts w:hint="eastAsia" w:ascii="Times New Roman" w:eastAsia="宋体"/>
        </w:rPr>
        <w:drawing>
          <wp:anchor distT="0" distB="0" distL="114300" distR="114300" simplePos="0" relativeHeight="251668480" behindDoc="1" locked="0" layoutInCell="1" allowOverlap="1">
            <wp:simplePos x="0" y="0"/>
            <wp:positionH relativeFrom="column">
              <wp:posOffset>2847975</wp:posOffset>
            </wp:positionH>
            <wp:positionV relativeFrom="paragraph">
              <wp:posOffset>367030</wp:posOffset>
            </wp:positionV>
            <wp:extent cx="2879725" cy="2160270"/>
            <wp:effectExtent l="0" t="0" r="635" b="3810"/>
            <wp:wrapTight wrapText="bothSides">
              <wp:wrapPolygon>
                <wp:start x="0" y="0"/>
                <wp:lineTo x="0" y="21486"/>
                <wp:lineTo x="21490" y="21486"/>
                <wp:lineTo x="21490" y="0"/>
                <wp:lineTo x="0" y="0"/>
              </wp:wrapPolygon>
            </wp:wrapTight>
            <wp:docPr id="3" name="图片 3" descr="微信图片_20231018224943"/>
            <wp:cNvGraphicFramePr/>
            <a:graphic xmlns:a="http://schemas.openxmlformats.org/drawingml/2006/main">
              <a:graphicData uri="http://schemas.openxmlformats.org/drawingml/2006/picture">
                <pic:pic xmlns:pic="http://schemas.openxmlformats.org/drawingml/2006/picture">
                  <pic:nvPicPr>
                    <pic:cNvPr id="3" name="图片 3" descr="微信图片_20231018224943"/>
                    <pic:cNvPicPr/>
                  </pic:nvPicPr>
                  <pic:blipFill>
                    <a:blip r:embed="rId15"/>
                    <a:stretch>
                      <a:fillRect/>
                    </a:stretch>
                  </pic:blipFill>
                  <pic:spPr>
                    <a:xfrm>
                      <a:off x="0" y="0"/>
                      <a:ext cx="2879725" cy="2160270"/>
                    </a:xfrm>
                    <a:prstGeom prst="rect">
                      <a:avLst/>
                    </a:prstGeom>
                  </pic:spPr>
                </pic:pic>
              </a:graphicData>
            </a:graphic>
          </wp:anchor>
        </w:drawing>
      </w:r>
    </w:p>
    <w:p>
      <w:pPr>
        <w:spacing w:line="360" w:lineRule="auto"/>
        <w:ind w:firstLine="420" w:firstLineChars="200"/>
        <w:jc w:val="left"/>
        <w:rPr>
          <w:rFonts w:ascii="Times New Roman" w:eastAsia="宋体"/>
          <w:sz w:val="28"/>
        </w:rPr>
      </w:pPr>
      <w:r>
        <w:rPr>
          <w:rFonts w:hint="eastAsia" w:ascii="Times New Roman" w:eastAsia="宋体"/>
        </w:rPr>
        <w:drawing>
          <wp:anchor distT="0" distB="0" distL="114300" distR="114300" simplePos="0" relativeHeight="251667456" behindDoc="1" locked="0" layoutInCell="1" allowOverlap="1">
            <wp:simplePos x="0" y="0"/>
            <wp:positionH relativeFrom="column">
              <wp:posOffset>-318135</wp:posOffset>
            </wp:positionH>
            <wp:positionV relativeFrom="paragraph">
              <wp:posOffset>9525</wp:posOffset>
            </wp:positionV>
            <wp:extent cx="2879725" cy="2160270"/>
            <wp:effectExtent l="0" t="0" r="635" b="3810"/>
            <wp:wrapTight wrapText="bothSides">
              <wp:wrapPolygon>
                <wp:start x="0" y="0"/>
                <wp:lineTo x="0" y="21486"/>
                <wp:lineTo x="21490" y="21486"/>
                <wp:lineTo x="21490" y="0"/>
                <wp:lineTo x="0" y="0"/>
              </wp:wrapPolygon>
            </wp:wrapTight>
            <wp:docPr id="2" name="图片 2" descr="微信图片_20231018224939"/>
            <wp:cNvGraphicFramePr/>
            <a:graphic xmlns:a="http://schemas.openxmlformats.org/drawingml/2006/main">
              <a:graphicData uri="http://schemas.openxmlformats.org/drawingml/2006/picture">
                <pic:pic xmlns:pic="http://schemas.openxmlformats.org/drawingml/2006/picture">
                  <pic:nvPicPr>
                    <pic:cNvPr id="2" name="图片 2" descr="微信图片_20231018224939"/>
                    <pic:cNvPicPr/>
                  </pic:nvPicPr>
                  <pic:blipFill>
                    <a:blip r:embed="rId16"/>
                    <a:stretch>
                      <a:fillRect/>
                    </a:stretch>
                  </pic:blipFill>
                  <pic:spPr>
                    <a:xfrm>
                      <a:off x="0" y="0"/>
                      <a:ext cx="2879725" cy="2160270"/>
                    </a:xfrm>
                    <a:prstGeom prst="rect">
                      <a:avLst/>
                    </a:prstGeom>
                  </pic:spPr>
                </pic:pic>
              </a:graphicData>
            </a:graphic>
          </wp:anchor>
        </w:drawing>
      </w:r>
    </w:p>
    <w:p>
      <w:pPr>
        <w:spacing w:line="360" w:lineRule="auto"/>
        <w:ind w:firstLine="420" w:firstLineChars="200"/>
        <w:jc w:val="left"/>
        <w:rPr>
          <w:rFonts w:ascii="Times New Roman" w:eastAsia="宋体"/>
          <w:sz w:val="28"/>
        </w:rPr>
      </w:pPr>
      <w:r>
        <w:rPr>
          <w:rFonts w:hint="eastAsia" w:ascii="Times New Roman" w:eastAsia="宋体"/>
        </w:rPr>
        <w:drawing>
          <wp:anchor distT="0" distB="0" distL="114300" distR="114300" simplePos="0" relativeHeight="251670528" behindDoc="1" locked="0" layoutInCell="1" allowOverlap="1">
            <wp:simplePos x="0" y="0"/>
            <wp:positionH relativeFrom="column">
              <wp:posOffset>-385445</wp:posOffset>
            </wp:positionH>
            <wp:positionV relativeFrom="paragraph">
              <wp:posOffset>127000</wp:posOffset>
            </wp:positionV>
            <wp:extent cx="2879725" cy="2160270"/>
            <wp:effectExtent l="0" t="0" r="635" b="3810"/>
            <wp:wrapTight wrapText="bothSides">
              <wp:wrapPolygon>
                <wp:start x="0" y="0"/>
                <wp:lineTo x="0" y="21486"/>
                <wp:lineTo x="21490" y="21486"/>
                <wp:lineTo x="21490" y="0"/>
                <wp:lineTo x="0" y="0"/>
              </wp:wrapPolygon>
            </wp:wrapTight>
            <wp:docPr id="5" name="图片 5" descr="微信图片_20231018224930"/>
            <wp:cNvGraphicFramePr/>
            <a:graphic xmlns:a="http://schemas.openxmlformats.org/drawingml/2006/main">
              <a:graphicData uri="http://schemas.openxmlformats.org/drawingml/2006/picture">
                <pic:pic xmlns:pic="http://schemas.openxmlformats.org/drawingml/2006/picture">
                  <pic:nvPicPr>
                    <pic:cNvPr id="5" name="图片 5" descr="微信图片_20231018224930"/>
                    <pic:cNvPicPr/>
                  </pic:nvPicPr>
                  <pic:blipFill>
                    <a:blip r:embed="rId17"/>
                    <a:stretch>
                      <a:fillRect/>
                    </a:stretch>
                  </pic:blipFill>
                  <pic:spPr>
                    <a:xfrm>
                      <a:off x="0" y="0"/>
                      <a:ext cx="2879725" cy="2160270"/>
                    </a:xfrm>
                    <a:prstGeom prst="rect">
                      <a:avLst/>
                    </a:prstGeom>
                  </pic:spPr>
                </pic:pic>
              </a:graphicData>
            </a:graphic>
          </wp:anchor>
        </w:drawing>
      </w:r>
      <w:r>
        <w:rPr>
          <w:rFonts w:hint="eastAsia" w:ascii="Times New Roman" w:eastAsia="宋体"/>
        </w:rPr>
        <w:drawing>
          <wp:anchor distT="0" distB="0" distL="114300" distR="114300" simplePos="0" relativeHeight="251669504" behindDoc="0" locked="0" layoutInCell="1" allowOverlap="1">
            <wp:simplePos x="0" y="0"/>
            <wp:positionH relativeFrom="column">
              <wp:posOffset>279400</wp:posOffset>
            </wp:positionH>
            <wp:positionV relativeFrom="paragraph">
              <wp:posOffset>100965</wp:posOffset>
            </wp:positionV>
            <wp:extent cx="2879725" cy="2160270"/>
            <wp:effectExtent l="0" t="0" r="635" b="3810"/>
            <wp:wrapNone/>
            <wp:docPr id="14" name="图片 14" descr="e9d29dae429e7cd0e4183b3a1f15cb4"/>
            <wp:cNvGraphicFramePr/>
            <a:graphic xmlns:a="http://schemas.openxmlformats.org/drawingml/2006/main">
              <a:graphicData uri="http://schemas.openxmlformats.org/drawingml/2006/picture">
                <pic:pic xmlns:pic="http://schemas.openxmlformats.org/drawingml/2006/picture">
                  <pic:nvPicPr>
                    <pic:cNvPr id="14" name="图片 14" descr="e9d29dae429e7cd0e4183b3a1f15cb4"/>
                    <pic:cNvPicPr/>
                  </pic:nvPicPr>
                  <pic:blipFill>
                    <a:blip r:embed="rId18"/>
                    <a:stretch>
                      <a:fillRect/>
                    </a:stretch>
                  </pic:blipFill>
                  <pic:spPr>
                    <a:xfrm>
                      <a:off x="0" y="0"/>
                      <a:ext cx="2879725" cy="2160270"/>
                    </a:xfrm>
                    <a:prstGeom prst="rect">
                      <a:avLst/>
                    </a:prstGeom>
                  </pic:spPr>
                </pic:pic>
              </a:graphicData>
            </a:graphic>
          </wp:anchor>
        </w:drawing>
      </w:r>
    </w:p>
    <w:p>
      <w:pPr>
        <w:spacing w:line="360" w:lineRule="auto"/>
        <w:ind w:firstLine="560" w:firstLineChars="200"/>
        <w:jc w:val="left"/>
        <w:rPr>
          <w:rFonts w:ascii="Times New Roman" w:eastAsia="宋体"/>
          <w:sz w:val="28"/>
        </w:rPr>
      </w:pPr>
    </w:p>
    <w:p>
      <w:pPr>
        <w:spacing w:line="360" w:lineRule="auto"/>
        <w:ind w:firstLine="560" w:firstLineChars="200"/>
        <w:jc w:val="left"/>
        <w:rPr>
          <w:rFonts w:ascii="Times New Roman" w:eastAsia="宋体"/>
          <w:sz w:val="28"/>
        </w:rPr>
      </w:pPr>
    </w:p>
    <w:p>
      <w:pPr>
        <w:spacing w:line="360" w:lineRule="auto"/>
        <w:ind w:firstLine="560" w:firstLineChars="200"/>
        <w:jc w:val="left"/>
        <w:rPr>
          <w:rFonts w:ascii="Times New Roman" w:eastAsia="宋体"/>
          <w:sz w:val="28"/>
        </w:rPr>
      </w:pPr>
    </w:p>
    <w:p>
      <w:pPr>
        <w:spacing w:line="360" w:lineRule="auto"/>
        <w:ind w:firstLine="560" w:firstLineChars="200"/>
        <w:jc w:val="left"/>
        <w:rPr>
          <w:rFonts w:ascii="Times New Roman" w:eastAsia="宋体"/>
          <w:sz w:val="28"/>
        </w:rPr>
      </w:pPr>
    </w:p>
    <w:p>
      <w:pPr>
        <w:spacing w:line="360" w:lineRule="auto"/>
        <w:ind w:firstLine="560" w:firstLineChars="200"/>
        <w:jc w:val="left"/>
        <w:rPr>
          <w:rFonts w:ascii="Times New Roman" w:eastAsia="宋体"/>
          <w:sz w:val="28"/>
        </w:rPr>
      </w:pPr>
    </w:p>
    <w:p>
      <w:pPr>
        <w:spacing w:line="360" w:lineRule="auto"/>
        <w:ind w:firstLine="560" w:firstLineChars="200"/>
        <w:jc w:val="left"/>
        <w:rPr>
          <w:rFonts w:ascii="Times New Roman" w:eastAsia="宋体"/>
          <w:sz w:val="28"/>
        </w:rPr>
      </w:pPr>
    </w:p>
    <w:p>
      <w:pPr>
        <w:spacing w:line="360" w:lineRule="auto"/>
        <w:ind w:firstLine="560" w:firstLineChars="200"/>
        <w:jc w:val="left"/>
        <w:rPr>
          <w:rFonts w:ascii="Times New Roman" w:eastAsia="宋体"/>
          <w:sz w:val="28"/>
        </w:rPr>
      </w:pPr>
    </w:p>
    <w:p>
      <w:pPr>
        <w:tabs>
          <w:tab w:val="left" w:pos="874"/>
        </w:tabs>
        <w:spacing w:line="360" w:lineRule="auto"/>
        <w:jc w:val="left"/>
        <w:rPr>
          <w:rFonts w:ascii="Times New Roman" w:eastAsia="宋体"/>
          <w:sz w:val="28"/>
        </w:rPr>
      </w:pPr>
    </w:p>
    <w:p>
      <w:pPr>
        <w:tabs>
          <w:tab w:val="left" w:pos="874"/>
        </w:tabs>
        <w:spacing w:line="360" w:lineRule="auto"/>
        <w:jc w:val="left"/>
        <w:rPr>
          <w:rFonts w:ascii="Times New Roman" w:eastAsia="宋体"/>
          <w:sz w:val="28"/>
        </w:rPr>
      </w:pPr>
    </w:p>
    <w:p>
      <w:pPr>
        <w:tabs>
          <w:tab w:val="left" w:pos="874"/>
        </w:tabs>
        <w:spacing w:line="360" w:lineRule="auto"/>
        <w:jc w:val="left"/>
        <w:outlineLvl w:val="0"/>
        <w:rPr>
          <w:rFonts w:ascii="Times New Roman" w:eastAsia="宋体"/>
          <w:sz w:val="28"/>
        </w:rPr>
      </w:pPr>
      <w:bookmarkStart w:id="152" w:name="_Toc15254"/>
      <w:r>
        <w:rPr>
          <w:rFonts w:hint="eastAsia" w:ascii="Times New Roman" w:eastAsia="宋体"/>
          <w:sz w:val="28"/>
        </w:rPr>
        <w:t>附件3</w:t>
      </w:r>
      <w:bookmarkEnd w:id="152"/>
    </w:p>
    <w:p>
      <w:pPr>
        <w:spacing w:line="360" w:lineRule="auto"/>
        <w:jc w:val="left"/>
        <w:outlineLvl w:val="0"/>
        <w:rPr>
          <w:rFonts w:ascii="Times New Roman" w:eastAsia="宋体"/>
          <w:sz w:val="28"/>
        </w:rPr>
      </w:pPr>
      <w:bookmarkStart w:id="153" w:name="_Toc10818"/>
      <w:r>
        <w:rPr>
          <w:rFonts w:hint="eastAsia" w:ascii="Times New Roman" w:eastAsia="宋体" w:hAnsiTheme="majorEastAsia" w:cstheme="majorEastAsia"/>
          <w:b/>
          <w:bCs/>
          <w:spacing w:val="4"/>
          <w:sz w:val="28"/>
          <w:szCs w:val="32"/>
        </w:rPr>
        <w:t>2022年度德化县疫情防控资金专项资金绩效指标体系评价得分情况表</w:t>
      </w:r>
      <w:bookmarkEnd w:id="153"/>
    </w:p>
    <w:tbl>
      <w:tblPr>
        <w:tblStyle w:val="29"/>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990"/>
        <w:gridCol w:w="1335"/>
        <w:gridCol w:w="1787"/>
        <w:gridCol w:w="2728"/>
        <w:gridCol w:w="63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39" w:type="dxa"/>
            <w:vAlign w:val="center"/>
          </w:tcPr>
          <w:p>
            <w:pPr>
              <w:jc w:val="center"/>
              <w:rPr>
                <w:rFonts w:hint="eastAsia" w:ascii="宋体" w:hAnsi="宋体" w:eastAsia="宋体" w:cs="宋体"/>
                <w:b/>
                <w:bCs/>
                <w:kern w:val="0"/>
                <w:sz w:val="18"/>
                <w:szCs w:val="18"/>
              </w:rPr>
            </w:pPr>
            <w:r>
              <w:rPr>
                <w:rFonts w:hint="eastAsia" w:ascii="宋体" w:hAnsi="宋体" w:eastAsia="宋体" w:cs="宋体"/>
                <w:b/>
                <w:bCs/>
                <w:sz w:val="18"/>
                <w:szCs w:val="18"/>
              </w:rPr>
              <w:t>一级指标</w:t>
            </w:r>
          </w:p>
        </w:tc>
        <w:tc>
          <w:tcPr>
            <w:tcW w:w="990" w:type="dxa"/>
            <w:vAlign w:val="center"/>
          </w:tcPr>
          <w:p>
            <w:pPr>
              <w:jc w:val="center"/>
              <w:rPr>
                <w:rFonts w:hint="eastAsia" w:ascii="宋体" w:hAnsi="宋体" w:eastAsia="宋体" w:cs="宋体"/>
                <w:b/>
                <w:bCs/>
                <w:kern w:val="0"/>
                <w:sz w:val="18"/>
                <w:szCs w:val="18"/>
              </w:rPr>
            </w:pPr>
            <w:r>
              <w:rPr>
                <w:rFonts w:hint="eastAsia" w:ascii="宋体" w:hAnsi="宋体" w:eastAsia="宋体" w:cs="宋体"/>
                <w:b/>
                <w:bCs/>
                <w:sz w:val="18"/>
                <w:szCs w:val="18"/>
              </w:rPr>
              <w:t>二级指标</w:t>
            </w:r>
          </w:p>
        </w:tc>
        <w:tc>
          <w:tcPr>
            <w:tcW w:w="1335" w:type="dxa"/>
            <w:vAlign w:val="center"/>
          </w:tcPr>
          <w:p>
            <w:pPr>
              <w:jc w:val="center"/>
              <w:rPr>
                <w:rFonts w:hint="eastAsia" w:ascii="宋体" w:hAnsi="宋体" w:eastAsia="宋体" w:cs="宋体"/>
                <w:b/>
                <w:bCs/>
                <w:kern w:val="0"/>
                <w:sz w:val="18"/>
                <w:szCs w:val="18"/>
              </w:rPr>
            </w:pPr>
            <w:r>
              <w:rPr>
                <w:rFonts w:hint="eastAsia" w:ascii="宋体" w:hAnsi="宋体" w:eastAsia="宋体" w:cs="宋体"/>
                <w:b/>
                <w:bCs/>
                <w:sz w:val="18"/>
                <w:szCs w:val="18"/>
              </w:rPr>
              <w:t>三级指标</w:t>
            </w:r>
          </w:p>
        </w:tc>
        <w:tc>
          <w:tcPr>
            <w:tcW w:w="1787" w:type="dxa"/>
            <w:vAlign w:val="center"/>
          </w:tcPr>
          <w:p>
            <w:pPr>
              <w:widowControl/>
              <w:jc w:val="center"/>
              <w:textAlignment w:val="center"/>
              <w:rPr>
                <w:rFonts w:hint="eastAsia" w:ascii="宋体" w:hAnsi="宋体" w:eastAsia="宋体" w:cs="宋体"/>
                <w:b/>
                <w:bCs/>
                <w:sz w:val="18"/>
                <w:szCs w:val="18"/>
              </w:rPr>
            </w:pPr>
            <w:r>
              <w:rPr>
                <w:rFonts w:hint="eastAsia" w:ascii="宋体" w:hAnsi="宋体" w:eastAsia="宋体" w:cs="宋体"/>
                <w:b/>
                <w:color w:val="000000"/>
                <w:kern w:val="0"/>
                <w:sz w:val="18"/>
                <w:szCs w:val="18"/>
              </w:rPr>
              <w:t>指标解释</w:t>
            </w:r>
          </w:p>
        </w:tc>
        <w:tc>
          <w:tcPr>
            <w:tcW w:w="2728" w:type="dxa"/>
            <w:vAlign w:val="center"/>
          </w:tcPr>
          <w:p>
            <w:pPr>
              <w:jc w:val="center"/>
              <w:rPr>
                <w:rFonts w:hint="eastAsia" w:ascii="宋体" w:hAnsi="宋体" w:eastAsia="宋体" w:cs="宋体"/>
                <w:b/>
                <w:bCs/>
                <w:kern w:val="0"/>
                <w:sz w:val="18"/>
                <w:szCs w:val="18"/>
              </w:rPr>
            </w:pPr>
            <w:r>
              <w:rPr>
                <w:rFonts w:hint="eastAsia" w:ascii="宋体" w:hAnsi="宋体" w:eastAsia="宋体" w:cs="宋体"/>
                <w:b/>
                <w:bCs/>
                <w:sz w:val="18"/>
                <w:szCs w:val="18"/>
              </w:rPr>
              <w:t>评分标准</w:t>
            </w:r>
          </w:p>
        </w:tc>
        <w:tc>
          <w:tcPr>
            <w:tcW w:w="630"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分值</w:t>
            </w:r>
          </w:p>
        </w:tc>
        <w:tc>
          <w:tcPr>
            <w:tcW w:w="690" w:type="dxa"/>
            <w:vAlign w:val="center"/>
          </w:tcPr>
          <w:p>
            <w:pPr>
              <w:widowControl/>
              <w:spacing w:line="0" w:lineRule="atLeast"/>
              <w:ind w:left="0" w:leftChars="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39" w:type="dxa"/>
            <w:vMerge w:val="restart"/>
            <w:vAlign w:val="center"/>
          </w:tcPr>
          <w:p>
            <w:pPr>
              <w:ind w:firstLine="181" w:firstLineChars="100"/>
              <w:rPr>
                <w:rFonts w:hint="eastAsia" w:ascii="宋体" w:hAnsi="宋体" w:eastAsia="宋体" w:cs="宋体"/>
                <w:b/>
                <w:bCs/>
                <w:kern w:val="0"/>
                <w:sz w:val="18"/>
                <w:szCs w:val="18"/>
              </w:rPr>
            </w:pPr>
            <w:r>
              <w:rPr>
                <w:rFonts w:hint="eastAsia" w:ascii="宋体" w:hAnsi="宋体" w:eastAsia="宋体" w:cs="宋体"/>
                <w:b/>
                <w:bCs/>
                <w:kern w:val="0"/>
                <w:sz w:val="18"/>
                <w:szCs w:val="18"/>
              </w:rPr>
              <w:t>决 策</w:t>
            </w:r>
          </w:p>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（15分）</w:t>
            </w:r>
          </w:p>
        </w:tc>
        <w:tc>
          <w:tcPr>
            <w:tcW w:w="990" w:type="dxa"/>
            <w:vMerge w:val="restart"/>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项目立项</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tc>
        <w:tc>
          <w:tcPr>
            <w:tcW w:w="1335"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立项依据</w:t>
            </w: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充分性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（2分）</w:t>
            </w:r>
          </w:p>
        </w:tc>
        <w:tc>
          <w:tcPr>
            <w:tcW w:w="1787" w:type="dxa"/>
            <w:vAlign w:val="center"/>
          </w:tcPr>
          <w:p>
            <w:pPr>
              <w:widowControl/>
              <w:textAlignment w:val="center"/>
              <w:rPr>
                <w:rFonts w:hint="eastAsia" w:ascii="宋体" w:hAnsi="宋体" w:eastAsia="宋体" w:cs="宋体"/>
                <w:kern w:val="0"/>
                <w:sz w:val="18"/>
                <w:szCs w:val="18"/>
              </w:rPr>
            </w:pPr>
            <w:r>
              <w:rPr>
                <w:rFonts w:hint="eastAsia" w:ascii="宋体" w:hAnsi="宋体" w:eastAsia="宋体" w:cs="宋体"/>
                <w:bCs/>
                <w:color w:val="000000"/>
                <w:kern w:val="0"/>
                <w:sz w:val="18"/>
                <w:szCs w:val="18"/>
              </w:rPr>
              <w:t>项目立项是否符合法律法规、相关政策、发展规划以及部门职责，用以反映和考核项目立项依据情况。</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①项目立项是否符合国家法律法规、国民经济发展规划和相关政策；</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②项目立项是否符合行业发展规划和政策要求；</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③项目立项是否与部门职责范围相符，属于部门履职所需；</w:t>
            </w:r>
          </w:p>
          <w:p>
            <w:pPr>
              <w:widowControl/>
              <w:spacing w:line="0" w:lineRule="atLeas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④项目是否属于公共财政支持范围，是否符合中央、地方事权支出责任划分原则</w:t>
            </w:r>
            <w:r>
              <w:rPr>
                <w:rFonts w:hint="eastAsia" w:ascii="宋体" w:hAnsi="宋体" w:eastAsia="宋体" w:cs="宋体"/>
                <w:kern w:val="0"/>
                <w:sz w:val="18"/>
                <w:szCs w:val="18"/>
                <w:lang w:eastAsia="zh-CN"/>
              </w:rPr>
              <w:t>。</w:t>
            </w:r>
          </w:p>
          <w:p>
            <w:pPr>
              <w:rPr>
                <w:rFonts w:hint="eastAsia" w:ascii="宋体" w:hAnsi="宋体" w:eastAsia="宋体" w:cs="宋体"/>
                <w:kern w:val="0"/>
                <w:sz w:val="18"/>
                <w:szCs w:val="18"/>
              </w:rPr>
            </w:pPr>
            <w:r>
              <w:rPr>
                <w:rFonts w:hint="eastAsia" w:ascii="宋体" w:hAnsi="宋体" w:eastAsia="宋体" w:cs="宋体"/>
                <w:kern w:val="0"/>
                <w:sz w:val="18"/>
                <w:szCs w:val="18"/>
              </w:rPr>
              <w:t>一项不符合扣0.5分，严重的此项完全不得分。</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90" w:type="dxa"/>
          </w:tcPr>
          <w:p>
            <w:pPr>
              <w:widowControl/>
              <w:spacing w:line="0" w:lineRule="atLeast"/>
              <w:ind w:left="0" w:leftChars="0"/>
              <w:jc w:val="both"/>
              <w:rPr>
                <w:rFonts w:hint="eastAsia" w:ascii="宋体" w:hAnsi="宋体" w:eastAsia="宋体" w:cs="宋体"/>
                <w:kern w:val="0"/>
                <w:sz w:val="18"/>
                <w:szCs w:val="18"/>
              </w:rPr>
            </w:pPr>
          </w:p>
          <w:p>
            <w:pPr>
              <w:widowControl/>
              <w:spacing w:line="0" w:lineRule="atLeast"/>
              <w:ind w:left="0" w:leftChars="0"/>
              <w:jc w:val="both"/>
              <w:rPr>
                <w:rFonts w:hint="eastAsia" w:ascii="宋体" w:hAnsi="宋体" w:eastAsia="宋体" w:cs="宋体"/>
                <w:kern w:val="0"/>
                <w:sz w:val="18"/>
                <w:szCs w:val="18"/>
              </w:rPr>
            </w:pPr>
          </w:p>
          <w:p>
            <w:pPr>
              <w:widowControl/>
              <w:spacing w:line="0" w:lineRule="atLeast"/>
              <w:ind w:left="0" w:leftChars="0"/>
              <w:jc w:val="both"/>
              <w:rPr>
                <w:rFonts w:hint="eastAsia" w:ascii="宋体" w:hAnsi="宋体" w:eastAsia="宋体" w:cs="宋体"/>
                <w:kern w:val="0"/>
                <w:sz w:val="18"/>
                <w:szCs w:val="18"/>
              </w:rPr>
            </w:pPr>
          </w:p>
          <w:p>
            <w:pPr>
              <w:widowControl/>
              <w:spacing w:line="0" w:lineRule="atLeast"/>
              <w:ind w:left="0" w:leftChars="0"/>
              <w:jc w:val="both"/>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立项程序</w:t>
            </w: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规范性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（2分）</w:t>
            </w:r>
          </w:p>
        </w:tc>
        <w:tc>
          <w:tcPr>
            <w:tcW w:w="1787" w:type="dxa"/>
            <w:vAlign w:val="center"/>
          </w:tcPr>
          <w:p>
            <w:pPr>
              <w:widowControl/>
              <w:textAlignment w:val="center"/>
              <w:rPr>
                <w:rFonts w:hint="eastAsia" w:ascii="宋体" w:hAnsi="宋体" w:eastAsia="宋体" w:cs="宋体"/>
                <w:kern w:val="0"/>
                <w:sz w:val="18"/>
                <w:szCs w:val="18"/>
              </w:rPr>
            </w:pPr>
            <w:r>
              <w:rPr>
                <w:rFonts w:hint="eastAsia" w:ascii="宋体" w:hAnsi="宋体" w:eastAsia="宋体" w:cs="宋体"/>
                <w:bCs/>
                <w:color w:val="000000"/>
                <w:kern w:val="0"/>
                <w:sz w:val="18"/>
                <w:szCs w:val="18"/>
              </w:rPr>
              <w:t>项目申请、设立过程是否符合相关要求，用以反映和考核项目立项的规范情况。</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①项目是否按照规定的程序申请设立，审批文件、材料是否符合相关要求；</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②事前是否已经过必要的可行性研究、专家论证、风险评估、绩效评估、集体决策。</w:t>
            </w:r>
          </w:p>
          <w:p>
            <w:pPr>
              <w:rPr>
                <w:rFonts w:hint="eastAsia" w:ascii="宋体" w:hAnsi="宋体" w:eastAsia="宋体" w:cs="宋体"/>
                <w:sz w:val="18"/>
                <w:szCs w:val="18"/>
              </w:rPr>
            </w:pPr>
            <w:r>
              <w:rPr>
                <w:rFonts w:hint="eastAsia" w:ascii="宋体" w:hAnsi="宋体" w:eastAsia="宋体" w:cs="宋体"/>
                <w:kern w:val="0"/>
                <w:sz w:val="18"/>
                <w:szCs w:val="18"/>
              </w:rPr>
              <w:t>一项不符合扣1分，严重的此项完全不得分。</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90"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restart"/>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绩效目标</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（6分）</w:t>
            </w:r>
          </w:p>
        </w:tc>
        <w:tc>
          <w:tcPr>
            <w:tcW w:w="1335" w:type="dxa"/>
            <w:vAlign w:val="center"/>
          </w:tcPr>
          <w:p>
            <w:pPr>
              <w:widowControl/>
              <w:jc w:val="center"/>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绩效目标</w:t>
            </w:r>
          </w:p>
          <w:p>
            <w:pPr>
              <w:widowControl/>
              <w:jc w:val="center"/>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合理性</w:t>
            </w:r>
          </w:p>
          <w:p>
            <w:pPr>
              <w:widowControl/>
              <w:jc w:val="center"/>
              <w:textAlignment w:val="center"/>
              <w:rPr>
                <w:rFonts w:hint="eastAsia" w:ascii="宋体" w:hAnsi="宋体" w:eastAsia="宋体" w:cs="宋体"/>
                <w:kern w:val="0"/>
                <w:sz w:val="18"/>
                <w:szCs w:val="18"/>
                <w:highlight w:val="yellow"/>
              </w:rPr>
            </w:pPr>
            <w:r>
              <w:rPr>
                <w:rFonts w:hint="eastAsia" w:ascii="宋体" w:hAnsi="宋体" w:eastAsia="宋体" w:cs="宋体"/>
                <w:bCs/>
                <w:color w:val="000000"/>
                <w:kern w:val="0"/>
                <w:sz w:val="18"/>
                <w:szCs w:val="18"/>
              </w:rPr>
              <w:t>（3分）</w:t>
            </w:r>
          </w:p>
        </w:tc>
        <w:tc>
          <w:tcPr>
            <w:tcW w:w="1787" w:type="dxa"/>
            <w:vAlign w:val="center"/>
          </w:tcPr>
          <w:p>
            <w:pPr>
              <w:widowControl/>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项目所设定的绩效目标是否依据充分，是否符合客观实际，用以反映和考核项目绩效目标与项目实施的相符情况。</w:t>
            </w:r>
          </w:p>
        </w:tc>
        <w:tc>
          <w:tcPr>
            <w:tcW w:w="2728" w:type="dxa"/>
            <w:vAlign w:val="center"/>
          </w:tcPr>
          <w:p>
            <w:pPr>
              <w:widowControl/>
              <w:textAlignment w:val="center"/>
              <w:rPr>
                <w:rFonts w:hint="eastAsia" w:ascii="宋体" w:hAnsi="宋体" w:eastAsia="宋体" w:cs="宋体"/>
                <w:sz w:val="18"/>
                <w:szCs w:val="18"/>
                <w:highlight w:val="yellow"/>
              </w:rPr>
            </w:pPr>
            <w:r>
              <w:rPr>
                <w:rFonts w:hint="eastAsia" w:ascii="宋体" w:hAnsi="宋体" w:eastAsia="宋体" w:cs="宋体"/>
                <w:bCs/>
                <w:color w:val="000000"/>
                <w:kern w:val="0"/>
                <w:sz w:val="18"/>
                <w:szCs w:val="18"/>
              </w:rPr>
              <w:t>项目所设定的绩效目标是否依据充分，是否符合客观实际，用以反映和考核项目绩效目标与项目实施的相符情况。</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绩效目标</w:t>
            </w: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明确性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tc>
        <w:tc>
          <w:tcPr>
            <w:tcW w:w="1787" w:type="dxa"/>
            <w:vAlign w:val="center"/>
          </w:tcPr>
          <w:p>
            <w:pPr>
              <w:widowControl/>
              <w:textAlignment w:val="center"/>
              <w:rPr>
                <w:rFonts w:hint="eastAsia" w:ascii="宋体" w:hAnsi="宋体" w:eastAsia="宋体" w:cs="宋体"/>
                <w:kern w:val="0"/>
                <w:sz w:val="18"/>
                <w:szCs w:val="18"/>
              </w:rPr>
            </w:pPr>
            <w:r>
              <w:rPr>
                <w:rFonts w:hint="eastAsia" w:ascii="宋体" w:hAnsi="宋体" w:eastAsia="宋体" w:cs="宋体"/>
                <w:bCs/>
                <w:color w:val="000000"/>
                <w:kern w:val="0"/>
                <w:sz w:val="18"/>
                <w:szCs w:val="18"/>
              </w:rPr>
              <w:t>依据绩效目标设定的绩效指标是否清晰、细化、可衡量等，用以反映和考核项目绩效目标的明细化情况。</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①是否将项目绩效目标细化分解为具体的绩效指标；</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②是否通过清晰、可衡量的指标值予以体现；</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③是否与项目目标任务数或计划数相对应。</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一项不符合扣1分，严重的此项完全不得分。</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资金投入</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（5分）</w:t>
            </w:r>
          </w:p>
        </w:tc>
        <w:tc>
          <w:tcPr>
            <w:tcW w:w="1335"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预算编制</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科学性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（2分）</w:t>
            </w:r>
          </w:p>
        </w:tc>
        <w:tc>
          <w:tcPr>
            <w:tcW w:w="1787"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项目预算编制是否经过科学论证、有明确标准，资金额度与年度目标是否相适应，用以反映和考核项目预算编制的科学性、合理性情况。</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①预算编制是否经过科学论证；</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②预算内容与项目内容是否匹配；</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③预算额度测算依据是否充分，是否按照标准编制。</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一项不符合扣1分，严重的此项完全不得分。</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90"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资金到位率</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tc>
        <w:tc>
          <w:tcPr>
            <w:tcW w:w="1787" w:type="dxa"/>
            <w:vAlign w:val="top"/>
          </w:tcPr>
          <w:p>
            <w:pPr>
              <w:widowControl/>
              <w:spacing w:line="0" w:lineRule="atLeast"/>
              <w:jc w:val="left"/>
              <w:rPr>
                <w:rFonts w:hint="eastAsia" w:ascii="宋体" w:hAnsi="宋体" w:eastAsia="宋体" w:cs="宋体"/>
                <w:bCs/>
                <w:color w:val="000000"/>
                <w:kern w:val="0"/>
                <w:sz w:val="18"/>
                <w:szCs w:val="18"/>
              </w:rPr>
            </w:pPr>
            <w:r>
              <w:rPr>
                <w:rFonts w:hint="eastAsia" w:ascii="宋体" w:hAnsi="宋体" w:eastAsia="宋体" w:cs="宋体"/>
                <w:kern w:val="0"/>
                <w:sz w:val="18"/>
                <w:szCs w:val="18"/>
              </w:rPr>
              <w:t>用于说明资金到位情况。资金到位率=（实际到位资金/预算资金）×100%</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实际到位资金：一定时期（本年度或项目期）内落实到具体项目的资金。</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预算资金：一定时期（本年度或项目期）内预算安排到具体项目的资金。</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资金到位率达到100%</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满分，每少5个百分点扣1分，扣完为止。</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39" w:type="dxa"/>
            <w:vMerge w:val="restart"/>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过 程</w:t>
            </w:r>
          </w:p>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（20分）</w:t>
            </w:r>
          </w:p>
        </w:tc>
        <w:tc>
          <w:tcPr>
            <w:tcW w:w="990"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资金管理</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（6分）</w:t>
            </w:r>
          </w:p>
        </w:tc>
        <w:tc>
          <w:tcPr>
            <w:tcW w:w="1335"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资金分配</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合理性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tc>
        <w:tc>
          <w:tcPr>
            <w:tcW w:w="1787"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bCs/>
                <w:color w:val="000000"/>
                <w:kern w:val="0"/>
                <w:sz w:val="18"/>
                <w:szCs w:val="18"/>
              </w:rPr>
              <w:t>项目预算资金分配是否有测算依据，与补助单位或地方实际是否相适应，用以反映和考核项目预算资金分配的科学性、合理性情况。</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①预算资金分配依据是否充分；</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②资金分配额度是否合理，与项目单位或地方实际是否相适应。</w:t>
            </w:r>
          </w:p>
          <w:p>
            <w:pPr>
              <w:widowControl/>
              <w:spacing w:line="0" w:lineRule="atLeast"/>
              <w:jc w:val="left"/>
              <w:rPr>
                <w:rFonts w:hint="eastAsia" w:ascii="宋体" w:hAnsi="宋体" w:eastAsia="宋体" w:cs="宋体"/>
                <w:spacing w:val="3"/>
                <w:kern w:val="0"/>
                <w:sz w:val="18"/>
                <w:szCs w:val="18"/>
              </w:rPr>
            </w:pPr>
            <w:r>
              <w:rPr>
                <w:rFonts w:hint="eastAsia" w:ascii="宋体" w:hAnsi="宋体" w:eastAsia="宋体" w:cs="宋体"/>
                <w:kern w:val="0"/>
                <w:sz w:val="18"/>
                <w:szCs w:val="18"/>
              </w:rPr>
              <w:t>一项不符合扣1.5分，严重的此项完全不得分。</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tcPr>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预算执行率</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tc>
        <w:tc>
          <w:tcPr>
            <w:tcW w:w="1787" w:type="dxa"/>
            <w:vAlign w:val="top"/>
          </w:tcPr>
          <w:p>
            <w:pPr>
              <w:widowControl/>
              <w:spacing w:line="0" w:lineRule="atLeas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用于衡量资金使用情况，预算执行率=（实际支出资金/实际到位资金）×100%</w:t>
            </w:r>
            <w:r>
              <w:rPr>
                <w:rFonts w:hint="eastAsia" w:ascii="宋体" w:hAnsi="宋体" w:eastAsia="宋体" w:cs="宋体"/>
                <w:kern w:val="0"/>
                <w:sz w:val="18"/>
                <w:szCs w:val="18"/>
                <w:lang w:eastAsia="zh-CN"/>
              </w:rPr>
              <w:t>。</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实际支出资金：一定时期（本年度或项目期）内项目实际拨付的资金。</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资金使用率大于95%</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满分，每少5个百分点扣1分，扣完为止。</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tcPr>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组织实施</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（9分）</w:t>
            </w:r>
          </w:p>
        </w:tc>
        <w:tc>
          <w:tcPr>
            <w:tcW w:w="1335"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管理制度</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健全性</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tc>
        <w:tc>
          <w:tcPr>
            <w:tcW w:w="1787" w:type="dxa"/>
            <w:vAlign w:val="top"/>
          </w:tcPr>
          <w:p>
            <w:pPr>
              <w:widowControl/>
              <w:spacing w:line="0" w:lineRule="atLeast"/>
              <w:jc w:val="left"/>
              <w:rPr>
                <w:rFonts w:hint="eastAsia" w:ascii="宋体" w:hAnsi="宋体" w:eastAsia="宋体" w:cs="宋体"/>
                <w:kern w:val="0"/>
                <w:sz w:val="18"/>
                <w:szCs w:val="18"/>
              </w:rPr>
            </w:pP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考察资金使用单位管理制度是否健全可行，是否合法合规</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①财务、 内部控制制度、疫情防控专项资金管理办法等财务管理</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制度都健全可行，合法合规</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2 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 xml:space="preserve"> ;</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②三项制度各占 1/3 权重分，</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缺少一项或内容不健全，按照权重扣除相应分数。</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tcPr>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39" w:type="dxa"/>
            <w:vMerge w:val="continue"/>
            <w:vAlign w:val="center"/>
          </w:tcPr>
          <w:p>
            <w:pPr>
              <w:jc w:val="center"/>
              <w:rPr>
                <w:rFonts w:hint="eastAsia" w:ascii="宋体" w:hAnsi="宋体" w:eastAsia="宋体" w:cs="宋体"/>
                <w:b/>
                <w:bCs/>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制度执行</w:t>
            </w: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有效性</w:t>
            </w: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tc>
        <w:tc>
          <w:tcPr>
            <w:tcW w:w="1787" w:type="dxa"/>
            <w:vAlign w:val="center"/>
          </w:tcPr>
          <w:p>
            <w:pPr>
              <w:widowControl/>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项目实施是否符合相关管理规定，用以反映和考核相关管理制度的有效执行情况。</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①是否遵守相关法律法规和相关管理规定；</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②项目调整及支出调整手续是否完备；</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③项目合同书、验收报告、技术鉴定等资料是否齐全并及时归档；</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④项目实施的人员条件、场地设备、信息支撑等是否落实到位。</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一项不符合扣0.5分，严重的此项完全不得分。</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tcPr>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39" w:type="dxa"/>
            <w:vMerge w:val="continue"/>
            <w:vAlign w:val="center"/>
          </w:tcPr>
          <w:p>
            <w:pPr>
              <w:jc w:val="center"/>
              <w:rPr>
                <w:rFonts w:hint="eastAsia" w:ascii="宋体" w:hAnsi="宋体" w:eastAsia="宋体" w:cs="宋体"/>
                <w:b/>
                <w:bCs/>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jc w:val="center"/>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采购制度</w:t>
            </w:r>
          </w:p>
          <w:p>
            <w:pPr>
              <w:widowControl/>
              <w:jc w:val="center"/>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健全性</w:t>
            </w:r>
          </w:p>
          <w:p>
            <w:pPr>
              <w:widowControl/>
              <w:jc w:val="center"/>
              <w:textAlignment w:val="center"/>
              <w:rPr>
                <w:rFonts w:hint="eastAsia" w:ascii="宋体" w:hAnsi="宋体" w:eastAsia="宋体" w:cs="宋体"/>
                <w:sz w:val="18"/>
                <w:szCs w:val="18"/>
              </w:rPr>
            </w:pPr>
            <w:r>
              <w:rPr>
                <w:rFonts w:hint="eastAsia" w:ascii="宋体" w:hAnsi="宋体" w:eastAsia="宋体" w:cs="宋体"/>
                <w:bCs/>
                <w:color w:val="000000"/>
                <w:kern w:val="0"/>
                <w:sz w:val="18"/>
                <w:szCs w:val="18"/>
              </w:rPr>
              <w:t>（3分）</w:t>
            </w:r>
          </w:p>
        </w:tc>
        <w:tc>
          <w:tcPr>
            <w:tcW w:w="1787" w:type="dxa"/>
            <w:vAlign w:val="center"/>
          </w:tcPr>
          <w:p>
            <w:pPr>
              <w:widowControl/>
              <w:textAlignment w:val="center"/>
              <w:rPr>
                <w:rFonts w:hint="eastAsia" w:ascii="宋体" w:hAnsi="宋体" w:eastAsia="宋体" w:cs="宋体"/>
                <w:kern w:val="0"/>
                <w:sz w:val="18"/>
                <w:szCs w:val="18"/>
              </w:rPr>
            </w:pPr>
            <w:r>
              <w:rPr>
                <w:rFonts w:hint="eastAsia" w:ascii="宋体" w:hAnsi="宋体" w:eastAsia="宋体" w:cs="宋体"/>
                <w:kern w:val="0"/>
                <w:sz w:val="18"/>
                <w:szCs w:val="18"/>
              </w:rPr>
              <w:t>评价资金使用单位提供的采购合同及相关基础资料，</w:t>
            </w:r>
            <w:r>
              <w:rPr>
                <w:rFonts w:hint="eastAsia" w:ascii="宋体" w:hAnsi="宋体" w:eastAsia="宋体" w:cs="宋体"/>
                <w:bCs/>
                <w:color w:val="000000"/>
                <w:kern w:val="0"/>
                <w:sz w:val="18"/>
                <w:szCs w:val="18"/>
              </w:rPr>
              <w:t>用以反映和考核采购管理制度对项目顺利实施的保障情况。</w:t>
            </w:r>
          </w:p>
        </w:tc>
        <w:tc>
          <w:tcPr>
            <w:tcW w:w="2728" w:type="dxa"/>
            <w:vAlign w:val="top"/>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①是否已制定或具有采购的管理制度；</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②采购管理制度是否合法、合规、完整。</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一项不符合扣1分，严重的此项完全不得分。</w:t>
            </w:r>
          </w:p>
        </w:tc>
        <w:tc>
          <w:tcPr>
            <w:tcW w:w="630" w:type="dxa"/>
            <w:vAlign w:val="top"/>
          </w:tcPr>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p>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tcPr>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p>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039" w:type="dxa"/>
            <w:vMerge w:val="continue"/>
            <w:vAlign w:val="center"/>
          </w:tcPr>
          <w:p>
            <w:pPr>
              <w:jc w:val="center"/>
              <w:rPr>
                <w:rFonts w:hint="eastAsia" w:ascii="宋体" w:hAnsi="宋体" w:eastAsia="宋体" w:cs="宋体"/>
                <w:b/>
                <w:bCs/>
                <w:kern w:val="0"/>
                <w:sz w:val="18"/>
                <w:szCs w:val="18"/>
              </w:rPr>
            </w:pPr>
          </w:p>
        </w:tc>
        <w:tc>
          <w:tcPr>
            <w:tcW w:w="990"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绩效管理</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分）</w:t>
            </w:r>
          </w:p>
        </w:tc>
        <w:tc>
          <w:tcPr>
            <w:tcW w:w="1335"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预算绩效</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管理情况</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（2分）</w:t>
            </w:r>
          </w:p>
        </w:tc>
        <w:tc>
          <w:tcPr>
            <w:tcW w:w="1787" w:type="dxa"/>
            <w:vAlign w:val="center"/>
          </w:tcPr>
          <w:p>
            <w:pPr>
              <w:widowControl/>
              <w:textAlignment w:val="center"/>
              <w:rPr>
                <w:rFonts w:hint="eastAsia" w:ascii="宋体" w:hAnsi="宋体" w:eastAsia="宋体" w:cs="宋体"/>
                <w:kern w:val="0"/>
                <w:sz w:val="18"/>
                <w:szCs w:val="18"/>
              </w:rPr>
            </w:pPr>
            <w:r>
              <w:rPr>
                <w:rFonts w:hint="eastAsia" w:ascii="宋体" w:hAnsi="宋体" w:eastAsia="宋体" w:cs="宋体"/>
                <w:bCs/>
                <w:color w:val="000000"/>
                <w:kern w:val="0"/>
                <w:sz w:val="18"/>
                <w:szCs w:val="18"/>
              </w:rPr>
              <w:t>是否已制定或具有相应的监控机制</w:t>
            </w:r>
          </w:p>
        </w:tc>
        <w:tc>
          <w:tcPr>
            <w:tcW w:w="2728" w:type="dxa"/>
            <w:vAlign w:val="center"/>
          </w:tcPr>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对部门绩效管理工作开展情况进行核查评价计算得分，包括绩效目标管理，绩效执行监控和绩效自评和评价结果应用等情况进行综合计算，得出绩效管理的得分情况。</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90" w:type="dxa"/>
            <w:vAlign w:val="center"/>
          </w:tcPr>
          <w:p>
            <w:pPr>
              <w:widowControl/>
              <w:spacing w:line="0" w:lineRule="atLeas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9" w:type="dxa"/>
            <w:vMerge w:val="continue"/>
            <w:vAlign w:val="center"/>
          </w:tcPr>
          <w:p>
            <w:pPr>
              <w:jc w:val="center"/>
              <w:rPr>
                <w:rFonts w:hint="eastAsia" w:ascii="宋体" w:hAnsi="宋体" w:eastAsia="宋体" w:cs="宋体"/>
                <w:b/>
                <w:bCs/>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绩效自评</w:t>
            </w:r>
          </w:p>
          <w:p>
            <w:pPr>
              <w:jc w:val="center"/>
              <w:rPr>
                <w:rFonts w:hint="eastAsia" w:ascii="宋体" w:hAnsi="宋体" w:eastAsia="宋体" w:cs="宋体"/>
                <w:sz w:val="18"/>
                <w:szCs w:val="18"/>
              </w:rPr>
            </w:pPr>
            <w:r>
              <w:rPr>
                <w:rFonts w:hint="eastAsia" w:ascii="宋体" w:hAnsi="宋体" w:eastAsia="宋体" w:cs="宋体"/>
                <w:sz w:val="18"/>
                <w:szCs w:val="18"/>
              </w:rPr>
              <w:t>合规性</w:t>
            </w:r>
          </w:p>
          <w:p>
            <w:pPr>
              <w:pStyle w:val="10"/>
              <w:jc w:val="center"/>
              <w:rPr>
                <w:rFonts w:hint="eastAsia" w:ascii="宋体" w:hAnsi="宋体" w:eastAsia="宋体" w:cs="宋体"/>
                <w:sz w:val="18"/>
                <w:szCs w:val="18"/>
              </w:rPr>
            </w:pPr>
            <w:r>
              <w:rPr>
                <w:rFonts w:hint="eastAsia" w:ascii="宋体" w:hAnsi="宋体" w:eastAsia="宋体" w:cs="宋体"/>
                <w:kern w:val="0"/>
                <w:sz w:val="18"/>
                <w:szCs w:val="18"/>
              </w:rPr>
              <w:t>（3分）</w:t>
            </w:r>
          </w:p>
        </w:tc>
        <w:tc>
          <w:tcPr>
            <w:tcW w:w="1787" w:type="dxa"/>
            <w:vAlign w:val="center"/>
          </w:tcPr>
          <w:p>
            <w:pPr>
              <w:widowControl/>
              <w:textAlignment w:val="center"/>
              <w:rPr>
                <w:rFonts w:hint="eastAsia" w:ascii="宋体" w:hAnsi="宋体" w:eastAsia="宋体" w:cs="宋体"/>
                <w:kern w:val="0"/>
                <w:sz w:val="18"/>
                <w:szCs w:val="18"/>
              </w:rPr>
            </w:pPr>
            <w:r>
              <w:rPr>
                <w:rFonts w:hint="eastAsia" w:ascii="宋体" w:hAnsi="宋体" w:eastAsia="宋体" w:cs="宋体"/>
                <w:bCs/>
                <w:color w:val="000000"/>
                <w:kern w:val="0"/>
                <w:sz w:val="18"/>
                <w:szCs w:val="18"/>
              </w:rPr>
              <w:t>是否按要求开展绩效自评工作；绩效自评报告是否报送及时</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①是否按要求开展绩效自评工作；</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②绩效自评报告是否报送及时；</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③绩效自评报告是否完整，数据是否全面、真实、准确，绩效指标是否细化量化和科学合理；</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④绩效自评反映的问题是否具体，意见是否可行。</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一项不符合扣0.5分，严重的此项完全不得分。</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039" w:type="dxa"/>
            <w:vMerge w:val="restart"/>
            <w:vAlign w:val="center"/>
          </w:tcPr>
          <w:p>
            <w:pPr>
              <w:widowControl/>
              <w:rPr>
                <w:rFonts w:hint="eastAsia" w:ascii="宋体" w:hAnsi="宋体" w:eastAsia="宋体" w:cs="宋体"/>
                <w:b/>
                <w:bCs/>
                <w:kern w:val="0"/>
                <w:sz w:val="18"/>
                <w:szCs w:val="18"/>
              </w:rPr>
            </w:pPr>
          </w:p>
          <w:p>
            <w:pPr>
              <w:widowControl/>
              <w:jc w:val="center"/>
              <w:rPr>
                <w:rFonts w:hint="eastAsia" w:ascii="宋体" w:hAnsi="宋体" w:eastAsia="宋体" w:cs="宋体"/>
                <w:b/>
                <w:bCs/>
                <w:kern w:val="0"/>
                <w:sz w:val="18"/>
                <w:szCs w:val="18"/>
              </w:rPr>
            </w:pPr>
          </w:p>
          <w:p>
            <w:pPr>
              <w:widowControl/>
              <w:jc w:val="center"/>
              <w:rPr>
                <w:rFonts w:hint="eastAsia" w:ascii="宋体" w:hAnsi="宋体" w:eastAsia="宋体" w:cs="宋体"/>
                <w:b/>
                <w:bCs/>
                <w:kern w:val="0"/>
                <w:sz w:val="18"/>
                <w:szCs w:val="18"/>
              </w:rPr>
            </w:pP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产 出</w:t>
            </w:r>
          </w:p>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35</w:t>
            </w:r>
            <w:r>
              <w:rPr>
                <w:rFonts w:hint="eastAsia" w:ascii="宋体" w:hAnsi="宋体" w:eastAsia="宋体" w:cs="宋体"/>
                <w:b/>
                <w:bCs/>
                <w:kern w:val="0"/>
                <w:sz w:val="18"/>
                <w:szCs w:val="18"/>
              </w:rPr>
              <w:t>分）</w:t>
            </w:r>
          </w:p>
          <w:p>
            <w:pPr>
              <w:jc w:val="center"/>
              <w:rPr>
                <w:rFonts w:hint="eastAsia" w:ascii="宋体" w:hAnsi="宋体" w:eastAsia="宋体" w:cs="宋体"/>
                <w:b/>
                <w:bCs/>
                <w:kern w:val="0"/>
                <w:sz w:val="18"/>
                <w:szCs w:val="18"/>
              </w:rPr>
            </w:pPr>
          </w:p>
        </w:tc>
        <w:tc>
          <w:tcPr>
            <w:tcW w:w="990"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产出数量</w:t>
            </w:r>
          </w:p>
          <w:p>
            <w:pPr>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（15分）</w:t>
            </w:r>
          </w:p>
          <w:p>
            <w:pPr>
              <w:jc w:val="center"/>
              <w:rPr>
                <w:rFonts w:hint="eastAsia" w:ascii="宋体" w:hAnsi="宋体" w:eastAsia="宋体" w:cs="宋体"/>
                <w:kern w:val="0"/>
                <w:sz w:val="18"/>
                <w:szCs w:val="18"/>
              </w:rPr>
            </w:pPr>
          </w:p>
        </w:tc>
        <w:tc>
          <w:tcPr>
            <w:tcW w:w="133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县医院核酸检测累计采集</w:t>
            </w:r>
          </w:p>
          <w:p>
            <w:pPr>
              <w:jc w:val="center"/>
              <w:rPr>
                <w:rFonts w:hint="eastAsia" w:ascii="宋体" w:hAnsi="宋体" w:eastAsia="宋体" w:cs="宋体"/>
                <w:sz w:val="18"/>
                <w:szCs w:val="18"/>
              </w:rPr>
            </w:pPr>
            <w:r>
              <w:rPr>
                <w:rFonts w:hint="eastAsia" w:ascii="宋体" w:hAnsi="宋体" w:eastAsia="宋体" w:cs="宋体"/>
                <w:sz w:val="18"/>
                <w:szCs w:val="18"/>
              </w:rPr>
              <w:t>人次</w:t>
            </w:r>
          </w:p>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787"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用于衡量2022年度在德化县医院核酸检测的总人数</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县医院核酸检测累计采集人次超过290万人得满分，每少1000人扣1分。</w:t>
            </w:r>
          </w:p>
          <w:p>
            <w:pPr>
              <w:widowControl/>
              <w:spacing w:line="0" w:lineRule="atLeast"/>
              <w:jc w:val="left"/>
              <w:rPr>
                <w:rFonts w:hint="eastAsia" w:ascii="宋体" w:hAnsi="宋体" w:eastAsia="宋体" w:cs="宋体"/>
                <w:sz w:val="18"/>
                <w:szCs w:val="18"/>
              </w:rPr>
            </w:pP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rPr>
                <w:rFonts w:hint="eastAsia" w:ascii="宋体" w:hAnsi="宋体" w:eastAsia="宋体" w:cs="宋体"/>
                <w:kern w:val="0"/>
                <w:sz w:val="18"/>
                <w:szCs w:val="18"/>
              </w:rPr>
            </w:pPr>
          </w:p>
        </w:tc>
        <w:tc>
          <w:tcPr>
            <w:tcW w:w="133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组织人员培训</w:t>
            </w:r>
          </w:p>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787" w:type="dxa"/>
            <w:vAlign w:val="center"/>
          </w:tcPr>
          <w:p>
            <w:pPr>
              <w:widowControl/>
              <w:spacing w:line="0" w:lineRule="atLeast"/>
              <w:jc w:val="left"/>
              <w:rPr>
                <w:rFonts w:hint="eastAsia" w:ascii="宋体" w:hAnsi="宋体" w:eastAsia="宋体" w:cs="宋体"/>
                <w:sz w:val="18"/>
                <w:szCs w:val="18"/>
              </w:rPr>
            </w:pPr>
            <w:r>
              <w:rPr>
                <w:rFonts w:hint="eastAsia" w:ascii="宋体" w:hAnsi="宋体" w:eastAsia="宋体" w:cs="宋体"/>
                <w:sz w:val="18"/>
                <w:szCs w:val="18"/>
              </w:rPr>
              <w:t>用于评价组织医疗机构检验相关专业人员的情况</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sz w:val="18"/>
                <w:szCs w:val="18"/>
              </w:rPr>
              <w:t>组织</w:t>
            </w:r>
            <w:r>
              <w:rPr>
                <w:rFonts w:hint="eastAsia" w:ascii="宋体" w:hAnsi="宋体" w:eastAsia="宋体" w:cs="宋体"/>
                <w:sz w:val="18"/>
                <w:szCs w:val="18"/>
                <w:lang w:val="en-US" w:eastAsia="zh-CN"/>
              </w:rPr>
              <w:t>培训</w:t>
            </w:r>
            <w:r>
              <w:rPr>
                <w:rFonts w:hint="eastAsia" w:ascii="宋体" w:hAnsi="宋体" w:eastAsia="宋体" w:cs="宋体"/>
                <w:sz w:val="18"/>
                <w:szCs w:val="18"/>
              </w:rPr>
              <w:t>医疗机构检验相关专业人员20名以上</w:t>
            </w:r>
            <w:r>
              <w:rPr>
                <w:rFonts w:hint="eastAsia" w:ascii="宋体" w:hAnsi="宋体" w:eastAsia="宋体" w:cs="宋体"/>
                <w:sz w:val="18"/>
                <w:szCs w:val="18"/>
                <w:lang w:eastAsia="zh-CN"/>
              </w:rPr>
              <w:t>的</w:t>
            </w:r>
            <w:r>
              <w:rPr>
                <w:rFonts w:hint="eastAsia" w:ascii="宋体" w:hAnsi="宋体" w:eastAsia="宋体" w:cs="宋体"/>
                <w:sz w:val="18"/>
                <w:szCs w:val="18"/>
              </w:rPr>
              <w:t>满分，</w:t>
            </w:r>
            <w:r>
              <w:rPr>
                <w:rFonts w:hint="eastAsia" w:ascii="宋体" w:hAnsi="宋体" w:eastAsia="宋体" w:cs="宋体"/>
                <w:kern w:val="0"/>
                <w:sz w:val="18"/>
                <w:szCs w:val="18"/>
              </w:rPr>
              <w:t>每少1人扣1分。</w:t>
            </w:r>
          </w:p>
          <w:p>
            <w:pPr>
              <w:widowControl/>
              <w:spacing w:line="0" w:lineRule="atLeast"/>
              <w:jc w:val="left"/>
              <w:rPr>
                <w:rFonts w:hint="eastAsia" w:ascii="宋体" w:hAnsi="宋体" w:eastAsia="宋体" w:cs="宋体"/>
                <w:sz w:val="18"/>
                <w:szCs w:val="18"/>
              </w:rPr>
            </w:pP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疫情防控资金补助乡镇数</w:t>
            </w:r>
          </w:p>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787"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用于评价</w:t>
            </w:r>
            <w:r>
              <w:rPr>
                <w:rFonts w:hint="eastAsia" w:ascii="宋体" w:hAnsi="宋体" w:eastAsia="宋体" w:cs="宋体"/>
                <w:sz w:val="18"/>
                <w:szCs w:val="18"/>
              </w:rPr>
              <w:t>防控资金补助乡镇补助数量</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疫情防控资金补助乡镇数18个以上</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满分；每少1个扣1分，扣完为止。</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村社区补助数</w:t>
            </w:r>
          </w:p>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787"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用于评价村社区补助数</w:t>
            </w:r>
          </w:p>
          <w:p>
            <w:pPr>
              <w:widowControl/>
              <w:spacing w:line="0" w:lineRule="atLeast"/>
              <w:jc w:val="left"/>
              <w:rPr>
                <w:rFonts w:hint="eastAsia" w:ascii="宋体" w:hAnsi="宋体" w:eastAsia="宋体" w:cs="宋体"/>
                <w:sz w:val="18"/>
                <w:szCs w:val="18"/>
              </w:rPr>
            </w:pP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村社区补助数达到217</w:t>
            </w:r>
            <w:r>
              <w:rPr>
                <w:rFonts w:hint="eastAsia" w:ascii="宋体" w:hAnsi="宋体" w:eastAsia="宋体" w:cs="宋体"/>
                <w:kern w:val="0"/>
                <w:sz w:val="18"/>
                <w:szCs w:val="18"/>
                <w:lang w:val="en-US" w:eastAsia="zh-CN"/>
              </w:rPr>
              <w:t>个的</w:t>
            </w:r>
            <w:r>
              <w:rPr>
                <w:rFonts w:hint="eastAsia" w:ascii="宋体" w:hAnsi="宋体" w:eastAsia="宋体" w:cs="宋体"/>
                <w:kern w:val="0"/>
                <w:sz w:val="18"/>
                <w:szCs w:val="18"/>
              </w:rPr>
              <w:t>满分；每少1个扣1分，扣完为止。</w:t>
            </w:r>
          </w:p>
          <w:p>
            <w:pPr>
              <w:widowControl/>
              <w:spacing w:line="0" w:lineRule="atLeast"/>
              <w:jc w:val="left"/>
              <w:rPr>
                <w:rFonts w:hint="eastAsia" w:ascii="宋体" w:hAnsi="宋体" w:eastAsia="宋体" w:cs="宋体"/>
                <w:sz w:val="18"/>
                <w:szCs w:val="18"/>
              </w:rPr>
            </w:pPr>
          </w:p>
        </w:tc>
        <w:tc>
          <w:tcPr>
            <w:tcW w:w="630" w:type="dxa"/>
            <w:vAlign w:val="center"/>
          </w:tcPr>
          <w:p>
            <w:pPr>
              <w:widowControl/>
              <w:spacing w:line="0" w:lineRule="atLeast"/>
              <w:ind w:left="0" w:leftChars="0"/>
              <w:jc w:val="center"/>
              <w:rPr>
                <w:rFonts w:hint="eastAsia" w:ascii="宋体" w:hAnsi="宋体" w:eastAsia="宋体" w:cs="宋体"/>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核酸检测点设立数量</w:t>
            </w:r>
          </w:p>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787"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用于评价核酸检测点设立的数量情况</w:t>
            </w:r>
          </w:p>
          <w:p>
            <w:pPr>
              <w:widowControl/>
              <w:spacing w:line="0" w:lineRule="atLeast"/>
              <w:jc w:val="left"/>
              <w:rPr>
                <w:rFonts w:hint="eastAsia" w:ascii="宋体" w:hAnsi="宋体" w:eastAsia="宋体" w:cs="宋体"/>
                <w:sz w:val="18"/>
                <w:szCs w:val="18"/>
              </w:rPr>
            </w:pP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核酸检测点设立数量达到应设立数60个以上。得满分；每少1个扣1分，扣完为止。</w:t>
            </w:r>
          </w:p>
          <w:p>
            <w:pPr>
              <w:widowControl/>
              <w:spacing w:line="0" w:lineRule="atLeast"/>
              <w:jc w:val="left"/>
              <w:rPr>
                <w:rFonts w:hint="eastAsia" w:ascii="宋体" w:hAnsi="宋体" w:eastAsia="宋体" w:cs="宋体"/>
                <w:sz w:val="18"/>
                <w:szCs w:val="18"/>
              </w:rPr>
            </w:pP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产出质量</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（12分）</w:t>
            </w:r>
          </w:p>
          <w:p>
            <w:pPr>
              <w:jc w:val="center"/>
              <w:rPr>
                <w:rFonts w:hint="eastAsia" w:ascii="宋体" w:hAnsi="宋体" w:eastAsia="宋体" w:cs="宋体"/>
                <w:kern w:val="0"/>
                <w:sz w:val="18"/>
                <w:szCs w:val="18"/>
              </w:rPr>
            </w:pPr>
          </w:p>
        </w:tc>
        <w:tc>
          <w:tcPr>
            <w:tcW w:w="133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摸底排查情况</w:t>
            </w:r>
          </w:p>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787" w:type="dxa"/>
            <w:vAlign w:val="center"/>
          </w:tcPr>
          <w:p>
            <w:pPr>
              <w:widowControl/>
              <w:spacing w:line="0" w:lineRule="atLeast"/>
              <w:jc w:val="left"/>
              <w:rPr>
                <w:rFonts w:hint="eastAsia" w:ascii="宋体" w:hAnsi="宋体" w:eastAsia="宋体" w:cs="宋体"/>
                <w:sz w:val="18"/>
                <w:szCs w:val="18"/>
              </w:rPr>
            </w:pPr>
            <w:r>
              <w:rPr>
                <w:rFonts w:hint="eastAsia" w:ascii="宋体" w:hAnsi="宋体" w:eastAsia="宋体" w:cs="宋体"/>
                <w:sz w:val="18"/>
                <w:szCs w:val="18"/>
              </w:rPr>
              <w:t>用于衡量疫情期间各乡镇落实网格化动态管理</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实行网格化动态管理，覆盖面广</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满分，否则按实际情况扣分。</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合同规范性</w:t>
            </w:r>
          </w:p>
          <w:p>
            <w:pPr>
              <w:widowControl/>
              <w:jc w:val="center"/>
              <w:rPr>
                <w:rFonts w:hint="eastAsia" w:ascii="宋体" w:hAnsi="宋体" w:eastAsia="宋体" w:cs="宋体"/>
                <w:sz w:val="18"/>
                <w:szCs w:val="18"/>
              </w:rPr>
            </w:pPr>
            <w:r>
              <w:rPr>
                <w:rFonts w:hint="eastAsia" w:ascii="宋体" w:hAnsi="宋体" w:eastAsia="宋体" w:cs="宋体"/>
                <w:sz w:val="18"/>
                <w:szCs w:val="18"/>
              </w:rPr>
              <w:t>（3分）</w:t>
            </w:r>
          </w:p>
        </w:tc>
        <w:tc>
          <w:tcPr>
            <w:tcW w:w="1787" w:type="dxa"/>
            <w:vAlign w:val="top"/>
          </w:tcPr>
          <w:p>
            <w:pPr>
              <w:widowControl/>
              <w:textAlignment w:val="center"/>
              <w:rPr>
                <w:rFonts w:hint="eastAsia" w:ascii="宋体" w:hAnsi="宋体" w:eastAsia="宋体" w:cs="宋体"/>
                <w:bCs/>
                <w:color w:val="000000"/>
                <w:kern w:val="0"/>
                <w:sz w:val="18"/>
                <w:szCs w:val="18"/>
              </w:rPr>
            </w:pPr>
          </w:p>
          <w:p>
            <w:pPr>
              <w:widowControl/>
              <w:textAlignment w:val="center"/>
              <w:rPr>
                <w:rFonts w:hint="eastAsia" w:ascii="宋体" w:hAnsi="宋体" w:eastAsia="宋体" w:cs="宋体"/>
                <w:bCs/>
                <w:color w:val="000000"/>
                <w:kern w:val="0"/>
                <w:sz w:val="18"/>
                <w:szCs w:val="18"/>
              </w:rPr>
            </w:pPr>
          </w:p>
          <w:p>
            <w:pPr>
              <w:widowControl/>
              <w:textAlignment w:val="center"/>
              <w:rPr>
                <w:rFonts w:hint="eastAsia" w:ascii="宋体" w:hAnsi="宋体" w:eastAsia="宋体" w:cs="宋体"/>
                <w:sz w:val="18"/>
                <w:szCs w:val="18"/>
              </w:rPr>
            </w:pPr>
            <w:r>
              <w:rPr>
                <w:rFonts w:hint="eastAsia" w:ascii="宋体" w:hAnsi="宋体" w:eastAsia="宋体" w:cs="宋体"/>
                <w:bCs/>
                <w:color w:val="000000"/>
                <w:kern w:val="0"/>
                <w:sz w:val="18"/>
                <w:szCs w:val="18"/>
              </w:rPr>
              <w:t>合同管理衡量项目单位的合同管理是否规范。</w:t>
            </w:r>
          </w:p>
        </w:tc>
        <w:tc>
          <w:tcPr>
            <w:tcW w:w="2728" w:type="dxa"/>
            <w:vAlign w:val="center"/>
          </w:tcPr>
          <w:p>
            <w:pPr>
              <w:widowControl/>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评价要点：</w:t>
            </w:r>
          </w:p>
          <w:p>
            <w:pPr>
              <w:widowControl/>
              <w:textAlignment w:val="center"/>
              <w:rPr>
                <w:rFonts w:hint="eastAsia" w:ascii="宋体" w:hAnsi="宋体" w:eastAsia="宋体" w:cs="宋体"/>
                <w:sz w:val="18"/>
                <w:szCs w:val="18"/>
              </w:rPr>
            </w:pPr>
            <w:r>
              <w:rPr>
                <w:rFonts w:hint="eastAsia" w:ascii="宋体" w:hAnsi="宋体" w:eastAsia="宋体" w:cs="宋体"/>
                <w:bCs/>
                <w:color w:val="000000"/>
                <w:kern w:val="0"/>
                <w:sz w:val="18"/>
                <w:szCs w:val="18"/>
              </w:rPr>
              <w:t>合同签署的双方签字</w:t>
            </w:r>
            <w:r>
              <w:rPr>
                <w:rFonts w:hint="eastAsia" w:ascii="宋体" w:hAnsi="宋体" w:eastAsia="宋体" w:cs="宋体"/>
                <w:sz w:val="18"/>
                <w:szCs w:val="18"/>
              </w:rPr>
              <w:t>；</w:t>
            </w:r>
          </w:p>
          <w:p>
            <w:pPr>
              <w:widowControl/>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合同的内容和权责应该明确；</w:t>
            </w:r>
          </w:p>
          <w:p>
            <w:pPr>
              <w:widowControl/>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日期是否填写完整；</w:t>
            </w:r>
          </w:p>
          <w:p>
            <w:pPr>
              <w:widowControl/>
              <w:textAlignment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是否按照合同约定要求进行支付。</w:t>
            </w:r>
          </w:p>
          <w:p>
            <w:pPr>
              <w:widowControl/>
              <w:textAlignment w:val="center"/>
              <w:rPr>
                <w:rFonts w:hint="eastAsia" w:ascii="宋体" w:hAnsi="宋体" w:eastAsia="宋体" w:cs="宋体"/>
                <w:sz w:val="18"/>
                <w:szCs w:val="18"/>
              </w:rPr>
            </w:pPr>
            <w:r>
              <w:rPr>
                <w:rFonts w:hint="eastAsia" w:ascii="宋体" w:hAnsi="宋体" w:eastAsia="宋体" w:cs="宋体"/>
                <w:bCs/>
                <w:color w:val="000000"/>
                <w:kern w:val="0"/>
                <w:sz w:val="18"/>
                <w:szCs w:val="18"/>
              </w:rPr>
              <w:t>一项不符扣1分。</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申请与审批流程效率</w:t>
            </w:r>
          </w:p>
          <w:p>
            <w:pPr>
              <w:widowControl/>
              <w:jc w:val="center"/>
              <w:rPr>
                <w:rFonts w:hint="eastAsia" w:ascii="宋体" w:hAnsi="宋体" w:eastAsia="宋体" w:cs="宋体"/>
                <w:sz w:val="18"/>
                <w:szCs w:val="18"/>
              </w:rPr>
            </w:pPr>
            <w:r>
              <w:rPr>
                <w:rFonts w:hint="eastAsia" w:ascii="宋体" w:hAnsi="宋体" w:eastAsia="宋体" w:cs="宋体"/>
                <w:sz w:val="18"/>
                <w:szCs w:val="18"/>
              </w:rPr>
              <w:t>（3分）</w:t>
            </w:r>
          </w:p>
        </w:tc>
        <w:tc>
          <w:tcPr>
            <w:tcW w:w="1787"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该指标用于评估疫情防控项目的申请与审批流程效率，统计从受援者提交申请到审批完成所需的平均时间。</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该指标用于评估疫情防控项目的申请与审批流程效率，统计从受援者提交申请到审批完成所需的平均时间。根据实际调查情况扣分。</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物资储备</w:t>
            </w:r>
          </w:p>
          <w:p>
            <w:pPr>
              <w:widowControl/>
              <w:jc w:val="center"/>
              <w:rPr>
                <w:rFonts w:hint="eastAsia" w:ascii="宋体" w:hAnsi="宋体" w:eastAsia="宋体" w:cs="宋体"/>
                <w:sz w:val="18"/>
                <w:szCs w:val="18"/>
              </w:rPr>
            </w:pPr>
            <w:r>
              <w:rPr>
                <w:rFonts w:hint="eastAsia" w:ascii="宋体" w:hAnsi="宋体" w:eastAsia="宋体" w:cs="宋体"/>
                <w:sz w:val="18"/>
                <w:szCs w:val="18"/>
              </w:rPr>
              <w:t>充足性</w:t>
            </w:r>
          </w:p>
          <w:p>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3分</w:t>
            </w:r>
            <w:r>
              <w:rPr>
                <w:rFonts w:hint="eastAsia" w:ascii="宋体" w:hAnsi="宋体" w:eastAsia="宋体" w:cs="宋体"/>
                <w:sz w:val="18"/>
                <w:szCs w:val="18"/>
                <w:lang w:eastAsia="zh-CN"/>
              </w:rPr>
              <w:t>）</w:t>
            </w:r>
          </w:p>
        </w:tc>
        <w:tc>
          <w:tcPr>
            <w:tcW w:w="1787"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用于衡量物资储备是否充足性</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指标用于评估疫情防控物资储备充足性</w:t>
            </w:r>
          </w:p>
          <w:p>
            <w:pPr>
              <w:widowControl/>
              <w:spacing w:line="0" w:lineRule="atLeast"/>
              <w:jc w:val="left"/>
              <w:rPr>
                <w:rFonts w:hint="eastAsia" w:ascii="宋体" w:hAnsi="宋体" w:eastAsia="宋体" w:cs="宋体"/>
                <w:sz w:val="18"/>
                <w:szCs w:val="18"/>
                <w:lang w:val="zh-TW" w:bidi="zh-TW"/>
              </w:rPr>
            </w:pPr>
            <w:r>
              <w:rPr>
                <w:rFonts w:hint="eastAsia" w:ascii="宋体" w:hAnsi="宋体" w:eastAsia="宋体" w:cs="宋体"/>
                <w:kern w:val="0"/>
                <w:sz w:val="18"/>
                <w:szCs w:val="18"/>
              </w:rPr>
              <w:t>。根据实际调查情况扣分。</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产出时效</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p>
            <w:pPr>
              <w:rPr>
                <w:rFonts w:hint="eastAsia" w:ascii="宋体" w:hAnsi="宋体" w:eastAsia="宋体" w:cs="宋体"/>
                <w:sz w:val="18"/>
                <w:szCs w:val="18"/>
              </w:rPr>
            </w:pP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疫情防控资金发放及时性</w:t>
            </w:r>
          </w:p>
          <w:p>
            <w:pPr>
              <w:widowControl/>
              <w:jc w:val="center"/>
              <w:rPr>
                <w:rFonts w:hint="eastAsia" w:ascii="宋体" w:hAnsi="宋体" w:eastAsia="宋体" w:cs="宋体"/>
                <w:sz w:val="18"/>
                <w:szCs w:val="18"/>
              </w:rPr>
            </w:pPr>
            <w:r>
              <w:rPr>
                <w:rFonts w:hint="eastAsia" w:ascii="宋体" w:hAnsi="宋体" w:eastAsia="宋体" w:cs="宋体"/>
                <w:sz w:val="18"/>
                <w:szCs w:val="18"/>
              </w:rPr>
              <w:t>（4分）</w:t>
            </w:r>
          </w:p>
        </w:tc>
        <w:tc>
          <w:tcPr>
            <w:tcW w:w="1787"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用于衡量发放及时性</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用于衡量发放及时性：统计经济援助、物品和服务等援助措施的发放时间是否及时，根据实际调查情况扣分</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39" w:type="dxa"/>
            <w:vMerge w:val="continue"/>
            <w:vAlign w:val="center"/>
          </w:tcPr>
          <w:p>
            <w:pPr>
              <w:jc w:val="center"/>
              <w:rPr>
                <w:rFonts w:hint="eastAsia" w:ascii="宋体" w:hAnsi="宋体" w:eastAsia="宋体" w:cs="宋体"/>
                <w:kern w:val="0"/>
                <w:sz w:val="18"/>
                <w:szCs w:val="18"/>
              </w:rPr>
            </w:pPr>
          </w:p>
        </w:tc>
        <w:tc>
          <w:tcPr>
            <w:tcW w:w="990" w:type="dxa"/>
            <w:vAlign w:val="center"/>
          </w:tcPr>
          <w:p>
            <w:pPr>
              <w:rPr>
                <w:rFonts w:hint="eastAsia" w:ascii="宋体" w:hAnsi="宋体" w:eastAsia="宋体" w:cs="宋体"/>
                <w:sz w:val="18"/>
                <w:szCs w:val="18"/>
              </w:rPr>
            </w:pPr>
            <w:r>
              <w:rPr>
                <w:rFonts w:hint="eastAsia" w:ascii="宋体" w:hAnsi="宋体" w:eastAsia="宋体" w:cs="宋体"/>
                <w:sz w:val="18"/>
                <w:szCs w:val="18"/>
              </w:rPr>
              <w:t>产出成本</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（4分）</w:t>
            </w:r>
          </w:p>
          <w:p>
            <w:pPr>
              <w:rPr>
                <w:rFonts w:hint="eastAsia" w:ascii="宋体" w:hAnsi="宋体" w:eastAsia="宋体" w:cs="宋体"/>
                <w:sz w:val="18"/>
                <w:szCs w:val="18"/>
              </w:rPr>
            </w:pPr>
          </w:p>
        </w:tc>
        <w:tc>
          <w:tcPr>
            <w:tcW w:w="133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资金控制成本率</w:t>
            </w:r>
          </w:p>
          <w:p>
            <w:pPr>
              <w:jc w:val="center"/>
              <w:rPr>
                <w:rFonts w:hint="eastAsia" w:ascii="宋体" w:hAnsi="宋体" w:eastAsia="宋体" w:cs="宋体"/>
                <w:sz w:val="18"/>
                <w:szCs w:val="18"/>
              </w:rPr>
            </w:pPr>
            <w:r>
              <w:rPr>
                <w:rFonts w:hint="eastAsia" w:ascii="宋体" w:hAnsi="宋体" w:eastAsia="宋体" w:cs="宋体"/>
                <w:sz w:val="18"/>
                <w:szCs w:val="18"/>
              </w:rPr>
              <w:t>（4分）</w:t>
            </w:r>
          </w:p>
        </w:tc>
        <w:tc>
          <w:tcPr>
            <w:tcW w:w="1787"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成本控制率＝截至年末累计支出数/概算或当年度预算×100%。</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小于等于100%</w:t>
            </w:r>
            <w:r>
              <w:rPr>
                <w:rFonts w:hint="eastAsia" w:ascii="宋体" w:hAnsi="宋体" w:eastAsia="宋体" w:cs="宋体"/>
                <w:kern w:val="0"/>
                <w:sz w:val="18"/>
                <w:szCs w:val="18"/>
                <w:lang w:eastAsia="zh-CN"/>
              </w:rPr>
              <w:t>的</w:t>
            </w:r>
            <w:r>
              <w:rPr>
                <w:rFonts w:hint="eastAsia" w:ascii="宋体" w:hAnsi="宋体" w:eastAsia="宋体" w:cs="宋体"/>
                <w:kern w:val="0"/>
                <w:sz w:val="18"/>
                <w:szCs w:val="18"/>
              </w:rPr>
              <w:t>满分，每大于10%，一项扣1分。</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9"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效益</w:t>
            </w:r>
          </w:p>
          <w:p>
            <w:pPr>
              <w:jc w:val="center"/>
              <w:rPr>
                <w:rFonts w:hint="eastAsia" w:ascii="宋体" w:hAnsi="宋体" w:eastAsia="宋体" w:cs="宋体"/>
                <w:kern w:val="0"/>
                <w:sz w:val="18"/>
                <w:szCs w:val="18"/>
              </w:rPr>
            </w:pPr>
            <w:r>
              <w:rPr>
                <w:rFonts w:hint="eastAsia" w:ascii="宋体" w:hAnsi="宋体" w:eastAsia="宋体" w:cs="宋体"/>
                <w:kern w:val="0"/>
                <w:sz w:val="18"/>
                <w:szCs w:val="18"/>
              </w:rPr>
              <w:t>（30分）</w:t>
            </w:r>
          </w:p>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hint="eastAsia" w:ascii="宋体" w:hAnsi="宋体" w:eastAsia="宋体" w:cs="宋体"/>
                <w:kern w:val="0"/>
                <w:sz w:val="18"/>
                <w:szCs w:val="18"/>
              </w:rPr>
            </w:pPr>
          </w:p>
        </w:tc>
        <w:tc>
          <w:tcPr>
            <w:tcW w:w="990" w:type="dxa"/>
            <w:vMerge w:val="restart"/>
            <w:vAlign w:val="center"/>
          </w:tcPr>
          <w:p>
            <w:pPr>
              <w:widowControl/>
              <w:jc w:val="cente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经济效益</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（8分）</w:t>
            </w:r>
          </w:p>
          <w:p>
            <w:pPr>
              <w:rPr>
                <w:rFonts w:hint="eastAsia" w:ascii="宋体" w:hAnsi="宋体" w:eastAsia="宋体" w:cs="宋体"/>
                <w:sz w:val="18"/>
                <w:szCs w:val="18"/>
              </w:rPr>
            </w:pPr>
          </w:p>
        </w:tc>
        <w:tc>
          <w:tcPr>
            <w:tcW w:w="133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企业复工率</w:t>
            </w:r>
          </w:p>
          <w:p>
            <w:pPr>
              <w:jc w:val="center"/>
              <w:rPr>
                <w:rFonts w:hint="eastAsia" w:ascii="宋体" w:hAnsi="宋体" w:eastAsia="宋体" w:cs="宋体"/>
                <w:sz w:val="18"/>
                <w:szCs w:val="18"/>
              </w:rPr>
            </w:pPr>
            <w:r>
              <w:rPr>
                <w:rFonts w:hint="eastAsia" w:ascii="宋体" w:hAnsi="宋体" w:eastAsia="宋体" w:cs="宋体"/>
                <w:sz w:val="18"/>
                <w:szCs w:val="18"/>
              </w:rPr>
              <w:t>（4分）</w:t>
            </w:r>
          </w:p>
        </w:tc>
        <w:tc>
          <w:tcPr>
            <w:tcW w:w="1787" w:type="dxa"/>
            <w:vAlign w:val="center"/>
          </w:tcPr>
          <w:p>
            <w:pPr>
              <w:widowControl/>
              <w:spacing w:line="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用于评价</w:t>
            </w:r>
            <w:r>
              <w:rPr>
                <w:rFonts w:hint="eastAsia" w:ascii="宋体" w:hAnsi="宋体" w:eastAsia="宋体" w:cs="宋体"/>
                <w:sz w:val="18"/>
                <w:szCs w:val="18"/>
              </w:rPr>
              <w:t>企业复工情况</w:t>
            </w:r>
            <w:r>
              <w:rPr>
                <w:rFonts w:hint="eastAsia" w:ascii="宋体" w:hAnsi="宋体" w:eastAsia="宋体" w:cs="宋体"/>
                <w:sz w:val="18"/>
                <w:szCs w:val="18"/>
                <w:lang w:val="en-US" w:eastAsia="zh-CN"/>
              </w:rPr>
              <w:t>的比例</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sz w:val="18"/>
                <w:szCs w:val="18"/>
              </w:rPr>
            </w:pPr>
            <w:r>
              <w:rPr>
                <w:rFonts w:hint="eastAsia" w:ascii="宋体" w:hAnsi="宋体" w:eastAsia="宋体" w:cs="宋体"/>
                <w:kern w:val="0"/>
                <w:sz w:val="18"/>
                <w:szCs w:val="18"/>
              </w:rPr>
              <w:t>大于等于100%得满分，每少100人扣1分，扣完为止。</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039" w:type="dxa"/>
            <w:vMerge w:val="continue"/>
            <w:vAlign w:val="center"/>
          </w:tcPr>
          <w:p>
            <w:pPr>
              <w:rPr>
                <w:rFonts w:hint="eastAsia" w:ascii="宋体" w:hAnsi="宋体" w:eastAsia="宋体" w:cs="宋体"/>
                <w:kern w:val="0"/>
                <w:sz w:val="18"/>
                <w:szCs w:val="18"/>
              </w:rPr>
            </w:pPr>
          </w:p>
        </w:tc>
        <w:tc>
          <w:tcPr>
            <w:tcW w:w="990" w:type="dxa"/>
            <w:vMerge w:val="continue"/>
            <w:vAlign w:val="center"/>
          </w:tcPr>
          <w:p>
            <w:pPr>
              <w:rPr>
                <w:rFonts w:hint="eastAsia" w:ascii="宋体" w:hAnsi="宋体" w:eastAsia="宋体" w:cs="宋体"/>
                <w:sz w:val="18"/>
                <w:szCs w:val="18"/>
              </w:rPr>
            </w:pPr>
          </w:p>
        </w:tc>
        <w:tc>
          <w:tcPr>
            <w:tcW w:w="133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单日检测人次</w:t>
            </w:r>
          </w:p>
          <w:p>
            <w:pPr>
              <w:jc w:val="center"/>
              <w:rPr>
                <w:rFonts w:hint="eastAsia" w:ascii="宋体" w:hAnsi="宋体" w:eastAsia="宋体" w:cs="宋体"/>
                <w:sz w:val="18"/>
                <w:szCs w:val="18"/>
              </w:rPr>
            </w:pPr>
            <w:r>
              <w:rPr>
                <w:rFonts w:hint="eastAsia" w:ascii="宋体" w:hAnsi="宋体" w:eastAsia="宋体" w:cs="宋体"/>
                <w:sz w:val="18"/>
                <w:szCs w:val="18"/>
              </w:rPr>
              <w:t>（4分）</w:t>
            </w:r>
          </w:p>
        </w:tc>
        <w:tc>
          <w:tcPr>
            <w:tcW w:w="1787"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用于评价是否可实现单日内完成全县全员核酸检测目标要求30万人次以上。</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单日内完成全县全员核酸检测目标要求30万人次以上得满分，每少100人扣1分，扣完为止。</w:t>
            </w:r>
          </w:p>
        </w:tc>
        <w:tc>
          <w:tcPr>
            <w:tcW w:w="630" w:type="dxa"/>
            <w:vAlign w:val="center"/>
          </w:tcPr>
          <w:p>
            <w:pPr>
              <w:widowControl/>
              <w:spacing w:line="0" w:lineRule="atLeast"/>
              <w:ind w:left="0" w:leftChar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39" w:type="dxa"/>
            <w:vMerge w:val="continue"/>
            <w:vAlign w:val="top"/>
          </w:tcPr>
          <w:p>
            <w:pPr>
              <w:rPr>
                <w:rFonts w:hint="eastAsia" w:ascii="宋体" w:hAnsi="宋体" w:eastAsia="宋体" w:cs="宋体"/>
                <w:kern w:val="0"/>
                <w:sz w:val="18"/>
                <w:szCs w:val="18"/>
              </w:rPr>
            </w:pPr>
          </w:p>
        </w:tc>
        <w:tc>
          <w:tcPr>
            <w:tcW w:w="990" w:type="dxa"/>
            <w:vAlign w:val="center"/>
          </w:tcPr>
          <w:p>
            <w:pPr>
              <w:widowControl/>
              <w:jc w:val="cente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社会效益</w:t>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（4分）</w:t>
            </w:r>
          </w:p>
          <w:p>
            <w:pPr>
              <w:jc w:val="cente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p>
          <w:p>
            <w:pPr>
              <w:widowControl/>
              <w:jc w:val="center"/>
              <w:rPr>
                <w:rFonts w:hint="eastAsia" w:ascii="宋体" w:hAnsi="宋体" w:eastAsia="宋体" w:cs="宋体"/>
                <w:sz w:val="18"/>
                <w:szCs w:val="18"/>
              </w:rPr>
            </w:pPr>
            <w:r>
              <w:rPr>
                <w:rFonts w:hint="eastAsia" w:ascii="宋体" w:hAnsi="宋体" w:eastAsia="宋体" w:cs="宋体"/>
                <w:sz w:val="18"/>
                <w:szCs w:val="18"/>
              </w:rPr>
              <w:t>政策宣传</w:t>
            </w:r>
          </w:p>
          <w:p>
            <w:pPr>
              <w:widowControl/>
              <w:jc w:val="center"/>
              <w:rPr>
                <w:rFonts w:hint="eastAsia" w:ascii="宋体" w:hAnsi="宋体" w:eastAsia="宋体" w:cs="宋体"/>
                <w:sz w:val="18"/>
                <w:szCs w:val="18"/>
                <w:highlight w:val="yellow"/>
              </w:rPr>
            </w:pPr>
            <w:r>
              <w:rPr>
                <w:rFonts w:hint="eastAsia" w:ascii="宋体" w:hAnsi="宋体" w:eastAsia="宋体" w:cs="宋体"/>
                <w:sz w:val="18"/>
                <w:szCs w:val="18"/>
              </w:rPr>
              <w:t>（4分）</w:t>
            </w:r>
          </w:p>
        </w:tc>
        <w:tc>
          <w:tcPr>
            <w:tcW w:w="1787"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用于评价</w:t>
            </w:r>
            <w:r>
              <w:rPr>
                <w:rFonts w:hint="eastAsia" w:ascii="宋体" w:hAnsi="宋体" w:eastAsia="宋体" w:cs="宋体"/>
                <w:kern w:val="0"/>
                <w:sz w:val="18"/>
                <w:szCs w:val="18"/>
                <w:lang w:val="en-US" w:eastAsia="zh-CN"/>
              </w:rPr>
              <w:t>疫情防控期间</w:t>
            </w:r>
            <w:r>
              <w:rPr>
                <w:rFonts w:hint="eastAsia" w:ascii="宋体" w:hAnsi="宋体" w:eastAsia="宋体" w:cs="宋体"/>
                <w:kern w:val="0"/>
                <w:sz w:val="18"/>
                <w:szCs w:val="18"/>
              </w:rPr>
              <w:t>政策宣传情况</w:t>
            </w:r>
          </w:p>
        </w:tc>
        <w:tc>
          <w:tcPr>
            <w:tcW w:w="2728"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评价要点：</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①是否开展社会救助进村（居）宣讲活动；</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②是否发放宣传单；</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③是否对政策宣讲与解读；</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④是否对社会救助经办人员进行培训。</w:t>
            </w:r>
          </w:p>
          <w:p>
            <w:pPr>
              <w:widowControl/>
              <w:spacing w:line="0" w:lineRule="atLeast"/>
              <w:jc w:val="left"/>
              <w:rPr>
                <w:rFonts w:hint="eastAsia" w:ascii="宋体" w:hAnsi="宋体" w:eastAsia="宋体" w:cs="宋体"/>
                <w:sz w:val="18"/>
                <w:szCs w:val="18"/>
                <w:highlight w:val="yellow"/>
              </w:rPr>
            </w:pPr>
            <w:r>
              <w:rPr>
                <w:rFonts w:hint="eastAsia" w:ascii="宋体" w:hAnsi="宋体" w:eastAsia="宋体" w:cs="宋体"/>
                <w:kern w:val="0"/>
                <w:sz w:val="18"/>
                <w:szCs w:val="18"/>
              </w:rPr>
              <w:t>一项不符合扣0.5分，严重的此项完全不得分。</w:t>
            </w:r>
          </w:p>
        </w:tc>
        <w:tc>
          <w:tcPr>
            <w:tcW w:w="63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9" w:type="dxa"/>
            <w:vMerge w:val="continue"/>
            <w:vAlign w:val="top"/>
          </w:tcPr>
          <w:p>
            <w:pPr>
              <w:rPr>
                <w:rFonts w:hint="eastAsia" w:ascii="宋体" w:hAnsi="宋体" w:eastAsia="宋体" w:cs="宋体"/>
                <w:kern w:val="0"/>
                <w:sz w:val="18"/>
                <w:szCs w:val="18"/>
              </w:rPr>
            </w:pPr>
          </w:p>
        </w:tc>
        <w:tc>
          <w:tcPr>
            <w:tcW w:w="990" w:type="dxa"/>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rPr>
              <w:t>4分</w:t>
            </w:r>
            <w:r>
              <w:rPr>
                <w:rFonts w:hint="eastAsia" w:ascii="宋体" w:hAnsi="宋体" w:eastAsia="宋体" w:cs="宋体"/>
                <w:kern w:val="0"/>
                <w:sz w:val="18"/>
                <w:szCs w:val="18"/>
                <w:lang w:eastAsia="zh-CN"/>
              </w:rPr>
              <w:t>）</w:t>
            </w: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消杀工作</w:t>
            </w:r>
          </w:p>
          <w:p>
            <w:pPr>
              <w:widowControl/>
              <w:jc w:val="center"/>
              <w:rPr>
                <w:rFonts w:hint="eastAsia" w:ascii="宋体" w:hAnsi="宋体" w:eastAsia="宋体" w:cs="宋体"/>
                <w:sz w:val="18"/>
                <w:szCs w:val="18"/>
              </w:rPr>
            </w:pPr>
            <w:r>
              <w:rPr>
                <w:rFonts w:hint="eastAsia" w:ascii="宋体" w:hAnsi="宋体" w:eastAsia="宋体" w:cs="宋体"/>
                <w:sz w:val="18"/>
                <w:szCs w:val="18"/>
              </w:rPr>
              <w:t>（4分）</w:t>
            </w:r>
          </w:p>
        </w:tc>
        <w:tc>
          <w:tcPr>
            <w:tcW w:w="1787" w:type="dxa"/>
            <w:vAlign w:val="center"/>
          </w:tcPr>
          <w:p>
            <w:pPr>
              <w:widowControl/>
              <w:spacing w:line="0" w:lineRule="atLeast"/>
              <w:jc w:val="left"/>
              <w:rPr>
                <w:rFonts w:hint="eastAsia" w:ascii="宋体" w:hAnsi="宋体" w:eastAsia="宋体" w:cs="宋体"/>
                <w:kern w:val="0"/>
                <w:sz w:val="18"/>
                <w:szCs w:val="18"/>
              </w:rPr>
            </w:pPr>
            <w:r>
              <w:rPr>
                <w:rFonts w:hint="eastAsia" w:ascii="宋体" w:hAnsi="宋体" w:eastAsia="宋体" w:cs="宋体"/>
                <w:sz w:val="18"/>
                <w:szCs w:val="18"/>
              </w:rPr>
              <w:t>用于评价</w:t>
            </w:r>
            <w:r>
              <w:rPr>
                <w:rFonts w:hint="eastAsia" w:ascii="宋体" w:hAnsi="宋体" w:eastAsia="宋体" w:cs="宋体"/>
                <w:kern w:val="0"/>
                <w:sz w:val="18"/>
                <w:szCs w:val="18"/>
                <w:lang w:val="en-US" w:eastAsia="zh-CN"/>
              </w:rPr>
              <w:t>疫情防控期间</w:t>
            </w:r>
            <w:r>
              <w:rPr>
                <w:rFonts w:hint="eastAsia" w:ascii="宋体" w:hAnsi="宋体" w:eastAsia="宋体" w:cs="宋体"/>
                <w:sz w:val="18"/>
                <w:szCs w:val="18"/>
              </w:rPr>
              <w:t>消杀工作情况</w:t>
            </w:r>
          </w:p>
        </w:tc>
        <w:tc>
          <w:tcPr>
            <w:tcW w:w="2728" w:type="dxa"/>
            <w:vAlign w:val="center"/>
          </w:tcPr>
          <w:p>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评价要点：</w:t>
            </w:r>
          </w:p>
          <w:p>
            <w:pPr>
              <w:pStyle w:val="8"/>
              <w:rPr>
                <w:rFonts w:hint="eastAsia" w:ascii="宋体" w:hAnsi="宋体" w:eastAsia="宋体" w:cs="宋体"/>
                <w:kern w:val="0"/>
                <w:sz w:val="18"/>
                <w:szCs w:val="18"/>
                <w:lang w:bidi="ar"/>
              </w:rPr>
            </w:pPr>
            <w:r>
              <w:rPr>
                <w:rFonts w:hint="eastAsia" w:ascii="宋体" w:hAnsi="宋体" w:eastAsia="宋体" w:cs="宋体"/>
                <w:sz w:val="18"/>
                <w:szCs w:val="18"/>
              </w:rPr>
              <w:t>①</w:t>
            </w:r>
            <w:r>
              <w:rPr>
                <w:rFonts w:hint="eastAsia" w:ascii="宋体" w:hAnsi="宋体" w:eastAsia="宋体" w:cs="宋体"/>
                <w:kern w:val="0"/>
                <w:sz w:val="18"/>
                <w:szCs w:val="18"/>
                <w:lang w:bidi="ar"/>
              </w:rPr>
              <w:t>效果显著提升</w:t>
            </w:r>
            <w:r>
              <w:rPr>
                <w:rFonts w:hint="eastAsia" w:ascii="宋体" w:hAnsi="宋体" w:eastAsia="宋体" w:cs="宋体"/>
                <w:kern w:val="0"/>
                <w:sz w:val="18"/>
                <w:szCs w:val="18"/>
                <w:lang w:eastAsia="zh-CN" w:bidi="ar"/>
              </w:rPr>
              <w:t>的</w:t>
            </w:r>
            <w:r>
              <w:rPr>
                <w:rFonts w:hint="eastAsia" w:ascii="宋体" w:hAnsi="宋体" w:eastAsia="宋体" w:cs="宋体"/>
                <w:kern w:val="0"/>
                <w:sz w:val="18"/>
                <w:szCs w:val="18"/>
                <w:lang w:bidi="ar"/>
              </w:rPr>
              <w:t>3分；</w:t>
            </w:r>
          </w:p>
          <w:p>
            <w:pPr>
              <w:pStyle w:val="8"/>
              <w:rPr>
                <w:rFonts w:hint="eastAsia" w:ascii="宋体" w:hAnsi="宋体" w:eastAsia="宋体" w:cs="宋体"/>
                <w:kern w:val="0"/>
                <w:sz w:val="18"/>
                <w:szCs w:val="18"/>
                <w:lang w:bidi="ar"/>
              </w:rPr>
            </w:pPr>
            <w:r>
              <w:rPr>
                <w:rFonts w:hint="eastAsia" w:ascii="宋体" w:hAnsi="宋体" w:eastAsia="宋体" w:cs="宋体"/>
                <w:kern w:val="0"/>
                <w:sz w:val="18"/>
                <w:szCs w:val="18"/>
                <w:lang w:bidi="ar"/>
              </w:rPr>
              <w:t>②效果一般</w:t>
            </w:r>
            <w:r>
              <w:rPr>
                <w:rFonts w:hint="eastAsia" w:ascii="宋体" w:hAnsi="宋体" w:eastAsia="宋体" w:cs="宋体"/>
                <w:kern w:val="0"/>
                <w:sz w:val="18"/>
                <w:szCs w:val="18"/>
                <w:lang w:eastAsia="zh-CN" w:bidi="ar"/>
              </w:rPr>
              <w:t>的</w:t>
            </w:r>
            <w:r>
              <w:rPr>
                <w:rFonts w:hint="eastAsia" w:ascii="宋体" w:hAnsi="宋体" w:eastAsia="宋体" w:cs="宋体"/>
                <w:kern w:val="0"/>
                <w:sz w:val="18"/>
                <w:szCs w:val="18"/>
                <w:lang w:bidi="ar"/>
              </w:rPr>
              <w:t>2分；</w:t>
            </w:r>
          </w:p>
          <w:p>
            <w:pPr>
              <w:widowControl/>
              <w:spacing w:line="0" w:lineRule="atLeast"/>
              <w:jc w:val="left"/>
              <w:rPr>
                <w:rFonts w:hint="eastAsia" w:ascii="宋体" w:hAnsi="宋体" w:eastAsia="宋体" w:cs="宋体"/>
                <w:kern w:val="0"/>
                <w:sz w:val="18"/>
                <w:szCs w:val="18"/>
              </w:rPr>
            </w:pPr>
            <w:r>
              <w:rPr>
                <w:rFonts w:hint="eastAsia" w:ascii="宋体" w:hAnsi="宋体" w:eastAsia="宋体" w:cs="宋体"/>
                <w:sz w:val="18"/>
                <w:szCs w:val="18"/>
              </w:rPr>
              <w:t>③</w:t>
            </w:r>
            <w:r>
              <w:rPr>
                <w:rFonts w:hint="eastAsia" w:ascii="宋体" w:hAnsi="宋体" w:eastAsia="宋体" w:cs="宋体"/>
                <w:kern w:val="0"/>
                <w:sz w:val="18"/>
                <w:szCs w:val="18"/>
                <w:lang w:bidi="ar"/>
              </w:rPr>
              <w:t>效益差不得分。</w:t>
            </w:r>
          </w:p>
        </w:tc>
        <w:tc>
          <w:tcPr>
            <w:tcW w:w="63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039" w:type="dxa"/>
            <w:vMerge w:val="continue"/>
            <w:vAlign w:val="top"/>
          </w:tcPr>
          <w:p>
            <w:pPr>
              <w:rPr>
                <w:rFonts w:hint="eastAsia" w:ascii="宋体" w:hAnsi="宋体" w:eastAsia="宋体" w:cs="宋体"/>
                <w:kern w:val="0"/>
                <w:sz w:val="18"/>
                <w:szCs w:val="18"/>
              </w:rPr>
            </w:pPr>
          </w:p>
        </w:tc>
        <w:tc>
          <w:tcPr>
            <w:tcW w:w="990" w:type="dxa"/>
            <w:vMerge w:val="restart"/>
            <w:vAlign w:val="center"/>
          </w:tcPr>
          <w:p>
            <w:pPr>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可持续</w:t>
            </w:r>
          </w:p>
          <w:p>
            <w:pPr>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影响</w:t>
            </w:r>
          </w:p>
          <w:p>
            <w:pPr>
              <w:jc w:val="center"/>
              <w:rPr>
                <w:rFonts w:hint="eastAsia" w:ascii="宋体" w:hAnsi="宋体" w:eastAsia="宋体" w:cs="宋体"/>
                <w:kern w:val="0"/>
                <w:sz w:val="18"/>
                <w:szCs w:val="18"/>
              </w:rPr>
            </w:pPr>
            <w:r>
              <w:rPr>
                <w:rFonts w:hint="eastAsia" w:ascii="宋体" w:hAnsi="宋体" w:eastAsia="宋体" w:cs="宋体"/>
                <w:kern w:val="0"/>
                <w:sz w:val="18"/>
                <w:szCs w:val="18"/>
                <w:lang w:bidi="ar"/>
              </w:rPr>
              <w:t>（8分）</w:t>
            </w:r>
          </w:p>
          <w:p>
            <w:pPr>
              <w:jc w:val="cente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建立健全疫情防控救治体系</w:t>
            </w:r>
          </w:p>
          <w:p>
            <w:pPr>
              <w:widowControl/>
              <w:ind w:firstLine="180" w:firstLineChars="100"/>
              <w:jc w:val="center"/>
              <w:rPr>
                <w:rFonts w:hint="eastAsia" w:ascii="宋体" w:hAnsi="宋体" w:eastAsia="宋体" w:cs="宋体"/>
                <w:sz w:val="18"/>
                <w:szCs w:val="18"/>
              </w:rPr>
            </w:pPr>
            <w:r>
              <w:rPr>
                <w:rFonts w:hint="eastAsia" w:ascii="宋体" w:hAnsi="宋体" w:eastAsia="宋体" w:cs="宋体"/>
                <w:sz w:val="18"/>
                <w:szCs w:val="18"/>
              </w:rPr>
              <w:t>（4分）</w:t>
            </w:r>
          </w:p>
        </w:tc>
        <w:tc>
          <w:tcPr>
            <w:tcW w:w="1787" w:type="dxa"/>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用于评价</w:t>
            </w:r>
            <w:r>
              <w:rPr>
                <w:rFonts w:hint="eastAsia" w:ascii="宋体" w:hAnsi="宋体" w:eastAsia="宋体" w:cs="宋体"/>
                <w:sz w:val="18"/>
                <w:szCs w:val="18"/>
                <w:lang w:val="en-US" w:eastAsia="zh-CN"/>
              </w:rPr>
              <w:t>是否</w:t>
            </w:r>
            <w:r>
              <w:rPr>
                <w:rFonts w:hint="eastAsia" w:ascii="宋体" w:hAnsi="宋体" w:eastAsia="宋体" w:cs="宋体"/>
                <w:sz w:val="18"/>
                <w:szCs w:val="18"/>
              </w:rPr>
              <w:t>建立健全疫情防控救治体系情况</w:t>
            </w:r>
          </w:p>
          <w:p>
            <w:pPr>
              <w:widowControl/>
              <w:spacing w:line="0" w:lineRule="atLeast"/>
              <w:jc w:val="left"/>
              <w:rPr>
                <w:rFonts w:hint="eastAsia" w:ascii="宋体" w:hAnsi="宋体" w:eastAsia="宋体" w:cs="宋体"/>
                <w:sz w:val="18"/>
                <w:szCs w:val="18"/>
              </w:rPr>
            </w:pPr>
          </w:p>
        </w:tc>
        <w:tc>
          <w:tcPr>
            <w:tcW w:w="2728" w:type="dxa"/>
            <w:vAlign w:val="center"/>
          </w:tcPr>
          <w:p>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评价要点：</w:t>
            </w:r>
          </w:p>
          <w:p>
            <w:pPr>
              <w:pStyle w:val="8"/>
              <w:rPr>
                <w:rFonts w:hint="eastAsia" w:ascii="宋体" w:hAnsi="宋体" w:eastAsia="宋体" w:cs="宋体"/>
                <w:kern w:val="0"/>
                <w:sz w:val="18"/>
                <w:szCs w:val="18"/>
                <w:lang w:bidi="ar"/>
              </w:rPr>
            </w:pPr>
            <w:r>
              <w:rPr>
                <w:rFonts w:hint="eastAsia" w:ascii="宋体" w:hAnsi="宋体" w:eastAsia="宋体" w:cs="宋体"/>
                <w:sz w:val="18"/>
                <w:szCs w:val="18"/>
              </w:rPr>
              <w:t>①</w:t>
            </w:r>
            <w:r>
              <w:rPr>
                <w:rFonts w:hint="eastAsia" w:ascii="宋体" w:hAnsi="宋体" w:eastAsia="宋体" w:cs="宋体"/>
                <w:kern w:val="0"/>
                <w:sz w:val="18"/>
                <w:szCs w:val="18"/>
                <w:lang w:bidi="ar"/>
              </w:rPr>
              <w:t>效果显著提升</w:t>
            </w:r>
            <w:r>
              <w:rPr>
                <w:rFonts w:hint="eastAsia" w:ascii="宋体" w:hAnsi="宋体" w:eastAsia="宋体" w:cs="宋体"/>
                <w:kern w:val="0"/>
                <w:sz w:val="18"/>
                <w:szCs w:val="18"/>
                <w:lang w:eastAsia="zh-CN" w:bidi="ar"/>
              </w:rPr>
              <w:t>的</w:t>
            </w:r>
            <w:r>
              <w:rPr>
                <w:rFonts w:hint="eastAsia" w:ascii="宋体" w:hAnsi="宋体" w:eastAsia="宋体" w:cs="宋体"/>
                <w:kern w:val="0"/>
                <w:sz w:val="18"/>
                <w:szCs w:val="18"/>
                <w:lang w:bidi="ar"/>
              </w:rPr>
              <w:t>3分；</w:t>
            </w:r>
          </w:p>
          <w:p>
            <w:pPr>
              <w:pStyle w:val="8"/>
              <w:rPr>
                <w:rFonts w:hint="eastAsia" w:ascii="宋体" w:hAnsi="宋体" w:eastAsia="宋体" w:cs="宋体"/>
                <w:kern w:val="0"/>
                <w:sz w:val="18"/>
                <w:szCs w:val="18"/>
                <w:lang w:bidi="ar"/>
              </w:rPr>
            </w:pPr>
            <w:r>
              <w:rPr>
                <w:rFonts w:hint="eastAsia" w:ascii="宋体" w:hAnsi="宋体" w:eastAsia="宋体" w:cs="宋体"/>
                <w:kern w:val="0"/>
                <w:sz w:val="18"/>
                <w:szCs w:val="18"/>
                <w:lang w:bidi="ar"/>
              </w:rPr>
              <w:t>②效果一般</w:t>
            </w:r>
            <w:r>
              <w:rPr>
                <w:rFonts w:hint="eastAsia" w:ascii="宋体" w:hAnsi="宋体" w:eastAsia="宋体" w:cs="宋体"/>
                <w:kern w:val="0"/>
                <w:sz w:val="18"/>
                <w:szCs w:val="18"/>
                <w:lang w:eastAsia="zh-CN" w:bidi="ar"/>
              </w:rPr>
              <w:t>的</w:t>
            </w:r>
            <w:r>
              <w:rPr>
                <w:rFonts w:hint="eastAsia" w:ascii="宋体" w:hAnsi="宋体" w:eastAsia="宋体" w:cs="宋体"/>
                <w:kern w:val="0"/>
                <w:sz w:val="18"/>
                <w:szCs w:val="18"/>
                <w:lang w:bidi="ar"/>
              </w:rPr>
              <w:t>2分；</w:t>
            </w:r>
          </w:p>
          <w:p>
            <w:pPr>
              <w:widowControl/>
              <w:spacing w:line="0" w:lineRule="atLeast"/>
              <w:jc w:val="left"/>
              <w:rPr>
                <w:rFonts w:hint="eastAsia" w:ascii="宋体" w:hAnsi="宋体" w:eastAsia="宋体" w:cs="宋体"/>
                <w:sz w:val="18"/>
                <w:szCs w:val="18"/>
              </w:rPr>
            </w:pPr>
            <w:r>
              <w:rPr>
                <w:rFonts w:hint="eastAsia" w:ascii="宋体" w:hAnsi="宋体" w:eastAsia="宋体" w:cs="宋体"/>
                <w:sz w:val="18"/>
                <w:szCs w:val="18"/>
              </w:rPr>
              <w:t>③</w:t>
            </w:r>
            <w:r>
              <w:rPr>
                <w:rFonts w:hint="eastAsia" w:ascii="宋体" w:hAnsi="宋体" w:eastAsia="宋体" w:cs="宋体"/>
                <w:kern w:val="0"/>
                <w:sz w:val="18"/>
                <w:szCs w:val="18"/>
                <w:lang w:bidi="ar"/>
              </w:rPr>
              <w:t>效益差不得分。</w:t>
            </w:r>
          </w:p>
        </w:tc>
        <w:tc>
          <w:tcPr>
            <w:tcW w:w="63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90" w:type="dxa"/>
            <w:vAlign w:val="center"/>
          </w:tcPr>
          <w:p>
            <w:pPr>
              <w:widowControl/>
              <w:spacing w:line="0" w:lineRule="atLeas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9" w:type="dxa"/>
            <w:vMerge w:val="continue"/>
            <w:vAlign w:val="top"/>
          </w:tcPr>
          <w:p>
            <w:pPr>
              <w:rPr>
                <w:rFonts w:hint="eastAsia" w:ascii="宋体" w:hAnsi="宋体" w:eastAsia="宋体" w:cs="宋体"/>
                <w:kern w:val="0"/>
                <w:sz w:val="18"/>
                <w:szCs w:val="18"/>
              </w:rPr>
            </w:pPr>
          </w:p>
        </w:tc>
        <w:tc>
          <w:tcPr>
            <w:tcW w:w="990" w:type="dxa"/>
            <w:vMerge w:val="continue"/>
            <w:vAlign w:val="center"/>
          </w:tcPr>
          <w:p>
            <w:pPr>
              <w:jc w:val="cente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密切接触者</w:t>
            </w:r>
          </w:p>
          <w:p>
            <w:pPr>
              <w:widowControl/>
              <w:jc w:val="center"/>
              <w:rPr>
                <w:rFonts w:hint="eastAsia" w:ascii="宋体" w:hAnsi="宋体" w:eastAsia="宋体" w:cs="宋体"/>
                <w:sz w:val="18"/>
                <w:szCs w:val="18"/>
              </w:rPr>
            </w:pPr>
            <w:r>
              <w:rPr>
                <w:rFonts w:hint="eastAsia" w:ascii="宋体" w:hAnsi="宋体" w:eastAsia="宋体" w:cs="宋体"/>
                <w:sz w:val="18"/>
                <w:szCs w:val="18"/>
              </w:rPr>
              <w:t>清零率</w:t>
            </w:r>
          </w:p>
          <w:p>
            <w:pPr>
              <w:widowControl/>
              <w:jc w:val="center"/>
              <w:rPr>
                <w:rFonts w:hint="eastAsia" w:ascii="宋体" w:hAnsi="宋体" w:eastAsia="宋体" w:cs="宋体"/>
                <w:sz w:val="18"/>
                <w:szCs w:val="18"/>
              </w:rPr>
            </w:pPr>
            <w:r>
              <w:rPr>
                <w:rFonts w:hint="eastAsia" w:ascii="宋体" w:hAnsi="宋体" w:eastAsia="宋体" w:cs="宋体"/>
                <w:sz w:val="18"/>
                <w:szCs w:val="18"/>
              </w:rPr>
              <w:t>（4分）</w:t>
            </w:r>
          </w:p>
        </w:tc>
        <w:tc>
          <w:tcPr>
            <w:tcW w:w="1787" w:type="dxa"/>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rPr>
              <w:t>用于评价密切接触者清零</w:t>
            </w:r>
            <w:r>
              <w:rPr>
                <w:rFonts w:hint="eastAsia" w:ascii="宋体" w:hAnsi="宋体" w:eastAsia="宋体" w:cs="宋体"/>
                <w:sz w:val="18"/>
                <w:szCs w:val="18"/>
                <w:lang w:val="en-US" w:eastAsia="zh-CN"/>
              </w:rPr>
              <w:t>情况</w:t>
            </w:r>
          </w:p>
          <w:p>
            <w:pPr>
              <w:widowControl/>
              <w:jc w:val="left"/>
              <w:rPr>
                <w:rFonts w:hint="eastAsia" w:ascii="宋体" w:hAnsi="宋体" w:eastAsia="宋体" w:cs="宋体"/>
                <w:sz w:val="18"/>
                <w:szCs w:val="18"/>
              </w:rPr>
            </w:pPr>
          </w:p>
        </w:tc>
        <w:tc>
          <w:tcPr>
            <w:tcW w:w="2728" w:type="dxa"/>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密切接触者清零率为0</w:t>
            </w:r>
            <w:r>
              <w:rPr>
                <w:rFonts w:hint="eastAsia" w:ascii="宋体" w:hAnsi="宋体" w:eastAsia="宋体" w:cs="宋体"/>
                <w:sz w:val="18"/>
                <w:szCs w:val="18"/>
                <w:lang w:eastAsia="zh-CN"/>
              </w:rPr>
              <w:t>的</w:t>
            </w:r>
            <w:r>
              <w:rPr>
                <w:rFonts w:hint="eastAsia" w:ascii="宋体" w:hAnsi="宋体" w:eastAsia="宋体" w:cs="宋体"/>
                <w:sz w:val="18"/>
                <w:szCs w:val="18"/>
              </w:rPr>
              <w:t>满分，</w:t>
            </w:r>
            <w:r>
              <w:rPr>
                <w:rFonts w:hint="eastAsia" w:ascii="宋体" w:hAnsi="宋体" w:eastAsia="宋体" w:cs="宋体"/>
                <w:kern w:val="0"/>
                <w:sz w:val="18"/>
                <w:szCs w:val="18"/>
              </w:rPr>
              <w:t>每大于1%，一项扣1分。</w:t>
            </w:r>
          </w:p>
        </w:tc>
        <w:tc>
          <w:tcPr>
            <w:tcW w:w="63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9" w:type="dxa"/>
            <w:vAlign w:val="top"/>
          </w:tcPr>
          <w:p>
            <w:pPr>
              <w:rPr>
                <w:rFonts w:hint="eastAsia" w:ascii="宋体" w:hAnsi="宋体" w:eastAsia="宋体" w:cs="宋体"/>
                <w:kern w:val="0"/>
                <w:sz w:val="18"/>
                <w:szCs w:val="18"/>
              </w:rPr>
            </w:pPr>
          </w:p>
        </w:tc>
        <w:tc>
          <w:tcPr>
            <w:tcW w:w="990" w:type="dxa"/>
            <w:vAlign w:val="center"/>
          </w:tcPr>
          <w:p>
            <w:pPr>
              <w:widowControl/>
              <w:jc w:val="both"/>
              <w:rPr>
                <w:rFonts w:hint="eastAsia" w:ascii="宋体" w:hAnsi="宋体" w:eastAsia="宋体" w:cs="宋体"/>
                <w:sz w:val="18"/>
                <w:szCs w:val="18"/>
              </w:rPr>
            </w:pPr>
            <w:r>
              <w:rPr>
                <w:rFonts w:hint="eastAsia" w:ascii="宋体" w:hAnsi="宋体" w:eastAsia="宋体" w:cs="宋体"/>
                <w:sz w:val="18"/>
                <w:szCs w:val="18"/>
              </w:rPr>
              <w:t>满意度</w:t>
            </w:r>
          </w:p>
          <w:p>
            <w:pPr>
              <w:widowControl/>
              <w:jc w:val="center"/>
              <w:rPr>
                <w:rFonts w:hint="eastAsia" w:ascii="宋体" w:hAnsi="宋体" w:eastAsia="宋体" w:cs="宋体"/>
                <w:sz w:val="18"/>
                <w:szCs w:val="18"/>
              </w:rPr>
            </w:pPr>
            <w:r>
              <w:rPr>
                <w:rFonts w:hint="eastAsia" w:ascii="宋体" w:hAnsi="宋体" w:eastAsia="宋体" w:cs="宋体"/>
                <w:sz w:val="18"/>
                <w:szCs w:val="18"/>
              </w:rPr>
              <w:t>6分</w:t>
            </w:r>
          </w:p>
          <w:p>
            <w:pPr>
              <w:jc w:val="center"/>
              <w:rPr>
                <w:rFonts w:hint="eastAsia" w:ascii="宋体" w:hAnsi="宋体" w:eastAsia="宋体" w:cs="宋体"/>
                <w:kern w:val="0"/>
                <w:sz w:val="18"/>
                <w:szCs w:val="18"/>
              </w:rPr>
            </w:pPr>
          </w:p>
        </w:tc>
        <w:tc>
          <w:tcPr>
            <w:tcW w:w="1335" w:type="dxa"/>
            <w:vAlign w:val="center"/>
          </w:tcPr>
          <w:p>
            <w:pPr>
              <w:widowControl/>
              <w:jc w:val="center"/>
              <w:rPr>
                <w:rFonts w:hint="eastAsia" w:ascii="宋体" w:hAnsi="宋体" w:eastAsia="宋体" w:cs="宋体"/>
                <w:sz w:val="18"/>
                <w:szCs w:val="18"/>
              </w:rPr>
            </w:pPr>
          </w:p>
          <w:p>
            <w:pPr>
              <w:widowControl/>
              <w:jc w:val="center"/>
              <w:rPr>
                <w:rFonts w:hint="eastAsia" w:ascii="宋体" w:hAnsi="宋体" w:eastAsia="宋体" w:cs="宋体"/>
                <w:sz w:val="18"/>
                <w:szCs w:val="18"/>
              </w:rPr>
            </w:pPr>
            <w:r>
              <w:rPr>
                <w:rFonts w:hint="eastAsia" w:ascii="宋体" w:hAnsi="宋体" w:eastAsia="宋体" w:cs="宋体"/>
                <w:sz w:val="18"/>
                <w:szCs w:val="18"/>
              </w:rPr>
              <w:t>群众满意度</w:t>
            </w:r>
          </w:p>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（6分</w:t>
            </w:r>
            <w:r>
              <w:rPr>
                <w:rFonts w:hint="eastAsia" w:ascii="宋体" w:hAnsi="宋体" w:eastAsia="宋体" w:cs="宋体"/>
                <w:sz w:val="18"/>
                <w:szCs w:val="18"/>
                <w:lang w:eastAsia="zh-CN"/>
              </w:rPr>
              <w:t>）</w:t>
            </w:r>
          </w:p>
          <w:p>
            <w:pPr>
              <w:widowControl/>
              <w:jc w:val="center"/>
              <w:rPr>
                <w:rFonts w:hint="eastAsia" w:ascii="宋体" w:hAnsi="宋体" w:eastAsia="宋体" w:cs="宋体"/>
                <w:sz w:val="18"/>
                <w:szCs w:val="18"/>
              </w:rPr>
            </w:pPr>
          </w:p>
        </w:tc>
        <w:tc>
          <w:tcPr>
            <w:tcW w:w="1787" w:type="dxa"/>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rPr>
              <w:t>采取社会调查的方式对社会公众服务对象对履职效果的满意程度。</w:t>
            </w:r>
          </w:p>
          <w:p>
            <w:pPr>
              <w:widowControl/>
              <w:jc w:val="left"/>
              <w:rPr>
                <w:rFonts w:hint="eastAsia" w:ascii="宋体" w:hAnsi="宋体" w:eastAsia="宋体" w:cs="宋体"/>
                <w:sz w:val="18"/>
                <w:szCs w:val="18"/>
              </w:rPr>
            </w:pPr>
          </w:p>
        </w:tc>
        <w:tc>
          <w:tcPr>
            <w:tcW w:w="2728" w:type="dxa"/>
            <w:vAlign w:val="center"/>
          </w:tcPr>
          <w:p>
            <w:pPr>
              <w:widowControl/>
              <w:jc w:val="left"/>
              <w:rPr>
                <w:rFonts w:hint="eastAsia" w:ascii="宋体" w:hAnsi="宋体" w:eastAsia="宋体" w:cs="宋体"/>
                <w:sz w:val="18"/>
                <w:szCs w:val="18"/>
              </w:rPr>
            </w:pPr>
            <w:r>
              <w:rPr>
                <w:rFonts w:hint="eastAsia" w:ascii="宋体" w:hAnsi="宋体" w:eastAsia="宋体" w:cs="宋体"/>
                <w:sz w:val="18"/>
                <w:szCs w:val="18"/>
                <w:lang w:eastAsia="zh-CN"/>
              </w:rPr>
              <w:t>满</w:t>
            </w:r>
            <w:r>
              <w:rPr>
                <w:rFonts w:hint="eastAsia" w:ascii="宋体" w:hAnsi="宋体" w:eastAsia="宋体" w:cs="宋体"/>
                <w:sz w:val="18"/>
                <w:szCs w:val="18"/>
              </w:rPr>
              <w:t>意度达95%得满分，减少5个百分点扣1分，直至扣完该项得分。</w:t>
            </w:r>
          </w:p>
        </w:tc>
        <w:tc>
          <w:tcPr>
            <w:tcW w:w="63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690" w:type="dxa"/>
            <w:vAlign w:val="center"/>
          </w:tcPr>
          <w:p>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09" w:type="dxa"/>
            <w:gridSpan w:val="6"/>
          </w:tcPr>
          <w:p>
            <w:pPr>
              <w:widowControl/>
              <w:spacing w:line="0" w:lineRule="atLeas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xml:space="preserve"> </w:t>
            </w:r>
          </w:p>
          <w:p>
            <w:pPr>
              <w:widowControl/>
              <w:spacing w:line="0" w:lineRule="atLeas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得</w:t>
            </w:r>
            <w:r>
              <w:rPr>
                <w:rFonts w:hint="eastAsia" w:ascii="宋体" w:hAnsi="宋体" w:eastAsia="宋体" w:cs="宋体"/>
                <w:b/>
                <w:bCs/>
                <w:kern w:val="0"/>
                <w:sz w:val="18"/>
                <w:szCs w:val="18"/>
                <w:lang w:val="en-US" w:eastAsia="zh-CN"/>
              </w:rPr>
              <w:t xml:space="preserve"> </w:t>
            </w:r>
            <w:r>
              <w:rPr>
                <w:rFonts w:hint="eastAsia" w:ascii="宋体" w:hAnsi="宋体" w:eastAsia="宋体" w:cs="宋体"/>
                <w:b/>
                <w:bCs/>
                <w:kern w:val="0"/>
                <w:sz w:val="18"/>
                <w:szCs w:val="18"/>
              </w:rPr>
              <w:t>分</w:t>
            </w:r>
          </w:p>
        </w:tc>
        <w:tc>
          <w:tcPr>
            <w:tcW w:w="690" w:type="dxa"/>
            <w:vAlign w:val="center"/>
          </w:tcPr>
          <w:p>
            <w:pPr>
              <w:widowControl/>
              <w:spacing w:line="0" w:lineRule="atLeas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8</w:t>
            </w:r>
            <w:r>
              <w:rPr>
                <w:rFonts w:hint="eastAsia" w:ascii="宋体" w:hAnsi="宋体" w:eastAsia="宋体" w:cs="宋体"/>
                <w:b/>
                <w:bCs/>
                <w:kern w:val="0"/>
                <w:sz w:val="18"/>
                <w:szCs w:val="18"/>
                <w:lang w:val="en-US" w:eastAsia="zh-CN"/>
              </w:rPr>
              <w:t>6</w:t>
            </w:r>
          </w:p>
        </w:tc>
      </w:tr>
    </w:tbl>
    <w:p>
      <w:pPr>
        <w:pStyle w:val="7"/>
        <w:spacing w:before="0" w:after="0" w:line="240" w:lineRule="auto"/>
        <w:jc w:val="distribute"/>
        <w:outlineLvl w:val="9"/>
        <w:rPr>
          <w:color w:val="FFFFFF" w:themeColor="background1"/>
          <w14:textFill>
            <w14:noFill/>
          </w14:textFill>
        </w:rPr>
      </w:pPr>
    </w:p>
    <w:p>
      <w:pPr>
        <w:rPr>
          <w:color w:val="FFFFFF" w:themeColor="background1"/>
          <w14:textFill>
            <w14:noFill/>
          </w14:textFill>
        </w:rPr>
      </w:pPr>
    </w:p>
    <w:p>
      <w:pPr>
        <w:pStyle w:val="2"/>
        <w:ind w:left="0" w:leftChars="0" w:firstLine="0" w:firstLineChars="0"/>
        <w:rPr>
          <w:rFonts w:hint="eastAsia" w:eastAsia="微软雅黑"/>
          <w:color w:val="FFFFFF" w:themeColor="background1"/>
          <w:lang w:eastAsia="zh-CN"/>
          <w14:textFill>
            <w14:noFill/>
          </w14:textFill>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ADE20"/>
    <w:multiLevelType w:val="singleLevel"/>
    <w:tmpl w:val="BD0ADE20"/>
    <w:lvl w:ilvl="0" w:tentative="0">
      <w:start w:val="2"/>
      <w:numFmt w:val="decimal"/>
      <w:lvlText w:val="%1."/>
      <w:lvlJc w:val="left"/>
      <w:pPr>
        <w:tabs>
          <w:tab w:val="left" w:pos="312"/>
        </w:tabs>
      </w:pPr>
    </w:lvl>
  </w:abstractNum>
  <w:abstractNum w:abstractNumId="1">
    <w:nsid w:val="CBB79EA0"/>
    <w:multiLevelType w:val="singleLevel"/>
    <w:tmpl w:val="CBB79EA0"/>
    <w:lvl w:ilvl="0" w:tentative="0">
      <w:start w:val="1"/>
      <w:numFmt w:val="upperLetter"/>
      <w:lvlText w:val="%1."/>
      <w:lvlJc w:val="left"/>
      <w:pPr>
        <w:tabs>
          <w:tab w:val="left" w:pos="312"/>
        </w:tabs>
        <w:ind w:left="100" w:firstLine="0"/>
      </w:pPr>
    </w:lvl>
  </w:abstractNum>
  <w:abstractNum w:abstractNumId="2">
    <w:nsid w:val="D5B67DA5"/>
    <w:multiLevelType w:val="singleLevel"/>
    <w:tmpl w:val="D5B67DA5"/>
    <w:lvl w:ilvl="0" w:tentative="0">
      <w:start w:val="1"/>
      <w:numFmt w:val="chineseCounting"/>
      <w:suff w:val="nothing"/>
      <w:lvlText w:val="（%1）"/>
      <w:lvlJc w:val="left"/>
      <w:rPr>
        <w:rFonts w:hint="eastAsia"/>
      </w:rPr>
    </w:lvl>
  </w:abstractNum>
  <w:abstractNum w:abstractNumId="3">
    <w:nsid w:val="DBB5C3CD"/>
    <w:multiLevelType w:val="singleLevel"/>
    <w:tmpl w:val="DBB5C3CD"/>
    <w:lvl w:ilvl="0" w:tentative="0">
      <w:start w:val="1"/>
      <w:numFmt w:val="chineseCounting"/>
      <w:suff w:val="nothing"/>
      <w:lvlText w:val="%1、"/>
      <w:lvlJc w:val="left"/>
      <w:rPr>
        <w:rFonts w:hint="eastAsia"/>
      </w:rPr>
    </w:lvl>
  </w:abstractNum>
  <w:abstractNum w:abstractNumId="4">
    <w:nsid w:val="E4EDE849"/>
    <w:multiLevelType w:val="singleLevel"/>
    <w:tmpl w:val="E4EDE849"/>
    <w:lvl w:ilvl="0" w:tentative="0">
      <w:start w:val="3"/>
      <w:numFmt w:val="decimal"/>
      <w:suff w:val="nothing"/>
      <w:lvlText w:val="（%1）"/>
      <w:lvlJc w:val="left"/>
    </w:lvl>
  </w:abstractNum>
  <w:abstractNum w:abstractNumId="5">
    <w:nsid w:val="F707A1DA"/>
    <w:multiLevelType w:val="singleLevel"/>
    <w:tmpl w:val="F707A1DA"/>
    <w:lvl w:ilvl="0" w:tentative="0">
      <w:start w:val="5"/>
      <w:numFmt w:val="chineseCounting"/>
      <w:suff w:val="nothing"/>
      <w:lvlText w:val="（%1）"/>
      <w:lvlJc w:val="left"/>
      <w:pPr>
        <w:ind w:left="309" w:firstLine="0"/>
      </w:pPr>
      <w:rPr>
        <w:rFonts w:hint="eastAsia"/>
      </w:rPr>
    </w:lvl>
  </w:abstractNum>
  <w:abstractNum w:abstractNumId="6">
    <w:nsid w:val="61E0542C"/>
    <w:multiLevelType w:val="singleLevel"/>
    <w:tmpl w:val="61E0542C"/>
    <w:lvl w:ilvl="0" w:tentative="0">
      <w:start w:val="4"/>
      <w:numFmt w:val="decimal"/>
      <w:suff w:val="nothing"/>
      <w:lvlText w:val="（%1）"/>
      <w:lvlJc w:val="left"/>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YTE5ODdmYjI3NzA2NzYyYjIxY2E4ZWVjZjBhYWUifQ=="/>
  </w:docVars>
  <w:rsids>
    <w:rsidRoot w:val="001D6457"/>
    <w:rsid w:val="0019421E"/>
    <w:rsid w:val="001D6457"/>
    <w:rsid w:val="004236C3"/>
    <w:rsid w:val="004B7BB0"/>
    <w:rsid w:val="005D496E"/>
    <w:rsid w:val="005D70CD"/>
    <w:rsid w:val="007431CA"/>
    <w:rsid w:val="008B4B9F"/>
    <w:rsid w:val="00945ECE"/>
    <w:rsid w:val="00C67A23"/>
    <w:rsid w:val="00CB3ED7"/>
    <w:rsid w:val="00E7570D"/>
    <w:rsid w:val="00F51029"/>
    <w:rsid w:val="022E2F5D"/>
    <w:rsid w:val="06173888"/>
    <w:rsid w:val="07035F59"/>
    <w:rsid w:val="086E282F"/>
    <w:rsid w:val="099A2140"/>
    <w:rsid w:val="0BF4406D"/>
    <w:rsid w:val="0C0C2086"/>
    <w:rsid w:val="10954C2D"/>
    <w:rsid w:val="141C6AD4"/>
    <w:rsid w:val="14710B51"/>
    <w:rsid w:val="14A5012F"/>
    <w:rsid w:val="155F1FD4"/>
    <w:rsid w:val="15B8351C"/>
    <w:rsid w:val="15ED05CF"/>
    <w:rsid w:val="17197051"/>
    <w:rsid w:val="1A387CDC"/>
    <w:rsid w:val="1F234678"/>
    <w:rsid w:val="226D4721"/>
    <w:rsid w:val="235C0A1E"/>
    <w:rsid w:val="26976211"/>
    <w:rsid w:val="27CE5C62"/>
    <w:rsid w:val="2CB3398B"/>
    <w:rsid w:val="2DB21090"/>
    <w:rsid w:val="2DE5332D"/>
    <w:rsid w:val="30703D5A"/>
    <w:rsid w:val="31CA4986"/>
    <w:rsid w:val="36AD6079"/>
    <w:rsid w:val="3C3A6FCB"/>
    <w:rsid w:val="3DCA6613"/>
    <w:rsid w:val="3EC33C00"/>
    <w:rsid w:val="3F687C6E"/>
    <w:rsid w:val="3FEF6F18"/>
    <w:rsid w:val="40346C5A"/>
    <w:rsid w:val="423D58E3"/>
    <w:rsid w:val="4274624A"/>
    <w:rsid w:val="43EC397E"/>
    <w:rsid w:val="446501E1"/>
    <w:rsid w:val="48B53794"/>
    <w:rsid w:val="4B296B88"/>
    <w:rsid w:val="4C371C7A"/>
    <w:rsid w:val="4E744869"/>
    <w:rsid w:val="4F4E0158"/>
    <w:rsid w:val="55974470"/>
    <w:rsid w:val="57DB3883"/>
    <w:rsid w:val="58815143"/>
    <w:rsid w:val="59F0606A"/>
    <w:rsid w:val="5D744C3F"/>
    <w:rsid w:val="5DDA3C9C"/>
    <w:rsid w:val="61C41FA1"/>
    <w:rsid w:val="62A831CC"/>
    <w:rsid w:val="650411E0"/>
    <w:rsid w:val="68713010"/>
    <w:rsid w:val="68E37CD6"/>
    <w:rsid w:val="691E667B"/>
    <w:rsid w:val="6E9F2B3A"/>
    <w:rsid w:val="6FD45C15"/>
    <w:rsid w:val="704B4E7A"/>
    <w:rsid w:val="759A3E22"/>
    <w:rsid w:val="7917736E"/>
    <w:rsid w:val="79CB193B"/>
    <w:rsid w:val="7BDE7FAE"/>
    <w:rsid w:val="7FFE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unhideWhenUsed/>
    <w:qFormat/>
    <w:uiPriority w:val="0"/>
    <w:pPr>
      <w:ind w:firstLine="482"/>
      <w:outlineLvl w:val="1"/>
    </w:pPr>
    <w:rPr>
      <w:b/>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semiHidden/>
    <w:qFormat/>
    <w:uiPriority w:val="0"/>
    <w:rPr>
      <w:rFonts w:ascii="微软雅黑" w:hAnsi="微软雅黑" w:eastAsia="微软雅黑" w:cs="微软雅黑"/>
      <w:sz w:val="24"/>
      <w:lang w:eastAsia="en-US"/>
    </w:rPr>
  </w:style>
  <w:style w:type="paragraph" w:styleId="8">
    <w:name w:val="annotation text"/>
    <w:basedOn w:val="1"/>
    <w:link w:val="33"/>
    <w:semiHidden/>
    <w:unhideWhenUsed/>
    <w:qFormat/>
    <w:uiPriority w:val="99"/>
    <w:pPr>
      <w:jc w:val="left"/>
    </w:pPr>
  </w:style>
  <w:style w:type="paragraph" w:styleId="9">
    <w:name w:val="toc 3"/>
    <w:basedOn w:val="1"/>
    <w:next w:val="1"/>
    <w:qFormat/>
    <w:uiPriority w:val="0"/>
    <w:pPr>
      <w:ind w:left="840" w:leftChars="400"/>
    </w:pPr>
  </w:style>
  <w:style w:type="paragraph" w:styleId="10">
    <w:name w:val="Balloon Text"/>
    <w:basedOn w:val="1"/>
    <w:next w:val="1"/>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8"/>
    <w:next w:val="8"/>
    <w:link w:val="34"/>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21"/>
      <w:szCs w:val="21"/>
    </w:rPr>
  </w:style>
  <w:style w:type="paragraph" w:customStyle="1" w:styleId="21">
    <w:name w:val="正文文本首行缩进 21"/>
    <w:basedOn w:val="22"/>
    <w:qFormat/>
    <w:uiPriority w:val="0"/>
    <w:pPr>
      <w:ind w:firstLine="420"/>
    </w:pPr>
  </w:style>
  <w:style w:type="paragraph" w:customStyle="1" w:styleId="22">
    <w:name w:val="正文文本缩进1"/>
    <w:basedOn w:val="1"/>
    <w:qFormat/>
    <w:uiPriority w:val="0"/>
    <w:pPr>
      <w:spacing w:line="520" w:lineRule="exact"/>
      <w:ind w:firstLine="640" w:firstLineChars="200"/>
    </w:pPr>
    <w:rPr>
      <w:rFonts w:ascii="仿宋_GB2312" w:eastAsia="仿宋_GB2312"/>
      <w:sz w:val="32"/>
    </w:rPr>
  </w:style>
  <w:style w:type="paragraph" w:customStyle="1" w:styleId="2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customStyle="1" w:styleId="24">
    <w:name w:val="Table Text"/>
    <w:basedOn w:val="1"/>
    <w:semiHidden/>
    <w:qFormat/>
    <w:uiPriority w:val="0"/>
    <w:rPr>
      <w:rFonts w:ascii="微软雅黑" w:hAnsi="微软雅黑" w:eastAsia="微软雅黑" w:cs="微软雅黑"/>
      <w:sz w:val="24"/>
      <w:lang w:eastAsia="en-US"/>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标题 2 字符"/>
    <w:qFormat/>
    <w:uiPriority w:val="0"/>
    <w:rPr>
      <w:b/>
    </w:rPr>
  </w:style>
  <w:style w:type="paragraph" w:customStyle="1" w:styleId="27">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28">
    <w:name w:val="font01"/>
    <w:basedOn w:val="19"/>
    <w:qFormat/>
    <w:uiPriority w:val="0"/>
    <w:rPr>
      <w:rFonts w:hint="eastAsia" w:ascii="微软雅黑" w:hAnsi="微软雅黑" w:eastAsia="微软雅黑" w:cs="微软雅黑"/>
      <w:color w:val="333333"/>
      <w:sz w:val="20"/>
      <w:szCs w:val="20"/>
      <w:u w:val="none"/>
    </w:rPr>
  </w:style>
  <w:style w:type="table" w:customStyle="1" w:styleId="29">
    <w:name w:val="网格型1"/>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3">
    <w:name w:val="批注文字 Char"/>
    <w:basedOn w:val="19"/>
    <w:link w:val="8"/>
    <w:semiHidden/>
    <w:qFormat/>
    <w:uiPriority w:val="99"/>
    <w:rPr>
      <w:rFonts w:asciiTheme="minorHAnsi" w:hAnsiTheme="minorHAnsi" w:eastAsiaTheme="minorEastAsia" w:cstheme="minorBidi"/>
      <w:kern w:val="2"/>
      <w:sz w:val="21"/>
      <w:szCs w:val="24"/>
    </w:rPr>
  </w:style>
  <w:style w:type="character" w:customStyle="1" w:styleId="34">
    <w:name w:val="批注主题 Char"/>
    <w:basedOn w:val="33"/>
    <w:link w:val="1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20656</Words>
  <Characters>21721</Characters>
  <Lines>185</Lines>
  <Paragraphs>52</Paragraphs>
  <TotalTime>2</TotalTime>
  <ScaleCrop>false</ScaleCrop>
  <LinksUpToDate>false</LinksUpToDate>
  <CharactersWithSpaces>22122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2023-12-11T14:56:00Z</dcterms:created>
  <dc:creator>Administrator</dc:creator>
  <cp:lastModifiedBy>sun</cp:lastModifiedBy>
  <cp:lastPrinted>2023-08-31T23:54:00Z</cp:lastPrinted>
  <dcterms:modified xsi:type="dcterms:W3CDTF">2023-12-25T02:27:49Z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74B462D569BB41118E34EDA668FFAC53_13</vt:lpwstr>
  </property>
</Properties>
</file>