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58"/>
        </w:tabs>
        <w:jc w:val="left"/>
        <w:rPr>
          <w:rFonts w:ascii="黑体" w:hAnsi="黑体" w:eastAsia="黑体" w:cs="黑体"/>
          <w:sz w:val="44"/>
          <w:szCs w:val="44"/>
        </w:rPr>
      </w:pPr>
      <w:bookmarkStart w:id="0" w:name="_Toc22199"/>
      <w:bookmarkStart w:id="1" w:name="_Toc30250"/>
      <w:bookmarkStart w:id="2" w:name="_Toc8366"/>
      <w:bookmarkStart w:id="3" w:name="_Toc26626"/>
      <w:bookmarkStart w:id="4" w:name="_Toc15129"/>
      <w:bookmarkStart w:id="5" w:name="_Toc12820"/>
      <w:bookmarkStart w:id="6" w:name="_Toc2829"/>
      <w:bookmarkStart w:id="7" w:name="_Toc27321"/>
      <w:bookmarkStart w:id="8" w:name="_Toc10429"/>
      <w:bookmarkStart w:id="9" w:name="_Toc11814"/>
      <w:bookmarkStart w:id="10" w:name="_Toc1586"/>
      <w:bookmarkStart w:id="11" w:name="_Toc8193"/>
      <w:bookmarkStart w:id="12" w:name="_Toc26688"/>
      <w:bookmarkStart w:id="13" w:name="_Toc24755"/>
      <w:bookmarkStart w:id="14" w:name="_Toc7970"/>
      <w:bookmarkStart w:id="15" w:name="_Toc16245"/>
      <w:r>
        <w:rPr>
          <w:rFonts w:hint="eastAsia" w:ascii="黑体" w:hAnsi="黑体" w:eastAsia="黑体" w:cs="黑体"/>
          <w:sz w:val="44"/>
          <w:szCs w:val="44"/>
        </w:rPr>
        <w:tab/>
      </w:r>
    </w:p>
    <w:p>
      <w:pPr>
        <w:rPr>
          <w:rFonts w:ascii="黑体" w:hAnsi="黑体" w:eastAsia="黑体" w:cs="黑体"/>
          <w:sz w:val="44"/>
          <w:szCs w:val="44"/>
        </w:rPr>
      </w:pPr>
    </w:p>
    <w:p>
      <w:pPr>
        <w:spacing w:line="360" w:lineRule="auto"/>
        <w:jc w:val="center"/>
        <w:rPr>
          <w:rFonts w:ascii="黑体" w:hAnsi="黑体" w:eastAsia="黑体" w:cs="黑体"/>
          <w:bCs/>
          <w:sz w:val="44"/>
          <w:szCs w:val="44"/>
        </w:rPr>
      </w:pPr>
    </w:p>
    <w:p>
      <w:pPr>
        <w:spacing w:line="360" w:lineRule="auto"/>
        <w:jc w:val="center"/>
        <w:outlineLvl w:val="0"/>
        <w:rPr>
          <w:rFonts w:hint="eastAsia" w:ascii="黑体" w:hAnsi="黑体" w:eastAsia="黑体" w:cs="黑体"/>
          <w:bCs/>
          <w:spacing w:val="4"/>
          <w:sz w:val="44"/>
          <w:szCs w:val="44"/>
        </w:rPr>
      </w:pPr>
      <w:bookmarkStart w:id="16" w:name="_Toc19259"/>
      <w:bookmarkStart w:id="17" w:name="_Toc14151"/>
      <w:bookmarkStart w:id="18" w:name="_Toc31818"/>
      <w:bookmarkStart w:id="19" w:name="_Toc8620"/>
      <w:bookmarkStart w:id="20" w:name="_Toc22691"/>
      <w:bookmarkStart w:id="21" w:name="_Toc12508"/>
      <w:bookmarkStart w:id="22" w:name="_Toc19419"/>
      <w:bookmarkStart w:id="23" w:name="_Toc18085"/>
      <w:bookmarkStart w:id="24" w:name="_Toc12788"/>
      <w:bookmarkStart w:id="25" w:name="_Toc13324"/>
      <w:r>
        <w:rPr>
          <w:rFonts w:hint="eastAsia" w:ascii="黑体" w:hAnsi="黑体" w:eastAsia="黑体" w:cs="黑体"/>
          <w:bCs/>
          <w:spacing w:val="4"/>
          <w:sz w:val="44"/>
          <w:szCs w:val="44"/>
        </w:rPr>
        <w:t>2022年度</w:t>
      </w:r>
      <w:bookmarkEnd w:id="16"/>
      <w:bookmarkStart w:id="26" w:name="_Toc19188"/>
      <w:bookmarkStart w:id="27" w:name="_Toc29299"/>
      <w:bookmarkStart w:id="28" w:name="_Toc15823"/>
      <w:bookmarkStart w:id="29" w:name="_Toc2320"/>
      <w:r>
        <w:rPr>
          <w:rFonts w:hint="eastAsia" w:ascii="黑体" w:hAnsi="黑体" w:eastAsia="黑体" w:cs="黑体"/>
          <w:bCs/>
          <w:spacing w:val="4"/>
          <w:sz w:val="44"/>
          <w:szCs w:val="44"/>
        </w:rPr>
        <w:t>德化县城乡居民基本养老保险补助专项资金绩效评价报告</w:t>
      </w:r>
      <w:bookmarkEnd w:id="17"/>
      <w:bookmarkEnd w:id="18"/>
      <w:bookmarkEnd w:id="19"/>
      <w:bookmarkEnd w:id="20"/>
      <w:bookmarkEnd w:id="26"/>
      <w:bookmarkEnd w:id="27"/>
      <w:bookmarkEnd w:id="28"/>
      <w:bookmarkEnd w:id="29"/>
    </w:p>
    <w:p>
      <w:pPr>
        <w:pStyle w:val="12"/>
        <w:rPr>
          <w:rFonts w:hint="eastAsia" w:ascii="黑体" w:hAnsi="黑体" w:eastAsia="黑体" w:cs="黑体"/>
          <w:bCs/>
          <w:spacing w:val="4"/>
          <w:sz w:val="44"/>
          <w:szCs w:val="44"/>
          <w:lang w:val="en-US" w:eastAsia="zh-CN"/>
        </w:rPr>
      </w:pPr>
      <w:r>
        <w:rPr>
          <w:rFonts w:hint="eastAsia" w:ascii="黑体" w:hAnsi="黑体" w:eastAsia="黑体" w:cs="黑体"/>
          <w:bCs/>
          <w:spacing w:val="4"/>
          <w:sz w:val="44"/>
          <w:szCs w:val="44"/>
          <w:lang w:val="en-US" w:eastAsia="zh-CN"/>
        </w:rPr>
        <w:t xml:space="preserve">               </w:t>
      </w:r>
    </w:p>
    <w:p>
      <w:pPr>
        <w:pStyle w:val="12"/>
        <w:rPr>
          <w:rFonts w:hint="default" w:eastAsia="黑体"/>
          <w:lang w:val="en-US" w:eastAsia="zh-CN"/>
        </w:rPr>
      </w:pPr>
    </w:p>
    <w:p>
      <w:pPr>
        <w:pStyle w:val="2"/>
        <w:ind w:firstLine="448"/>
        <w:rPr>
          <w:rFonts w:eastAsia="黑体"/>
        </w:rPr>
      </w:pPr>
      <w:r>
        <w:rPr>
          <w:rFonts w:hint="eastAsia" w:ascii="黑体" w:hAnsi="黑体" w:eastAsia="黑体" w:cs="黑体"/>
          <w:bCs/>
          <w:spacing w:val="4"/>
          <w:sz w:val="44"/>
          <w:szCs w:val="44"/>
        </w:rPr>
        <w:t xml:space="preserve">        </w:t>
      </w:r>
    </w:p>
    <w:p>
      <w:pPr>
        <w:pStyle w:val="26"/>
        <w:ind w:firstLine="640"/>
      </w:pPr>
    </w:p>
    <w:p>
      <w:pPr>
        <w:pStyle w:val="26"/>
        <w:ind w:firstLine="0" w:firstLineChars="0"/>
      </w:pPr>
    </w:p>
    <w:p>
      <w:pPr>
        <w:pStyle w:val="26"/>
        <w:ind w:firstLine="640"/>
      </w:pPr>
    </w:p>
    <w:p>
      <w:pPr>
        <w:pStyle w:val="26"/>
        <w:ind w:firstLine="640"/>
        <w:rPr>
          <w:rFonts w:ascii="黑体" w:hAnsi="黑体" w:eastAsia="黑体" w:cs="黑体"/>
          <w:szCs w:val="32"/>
        </w:rPr>
      </w:pPr>
    </w:p>
    <w:p>
      <w:pPr>
        <w:spacing w:line="360" w:lineRule="auto"/>
        <w:ind w:left="1602" w:leftChars="458" w:hanging="640" w:hangingChars="200"/>
        <w:rPr>
          <w:rFonts w:ascii="黑体" w:hAnsi="黑体" w:eastAsia="黑体" w:cs="黑体"/>
          <w:sz w:val="32"/>
          <w:szCs w:val="32"/>
          <w:u w:val="single"/>
        </w:rPr>
      </w:pPr>
      <w:r>
        <w:rPr>
          <w:rFonts w:hint="eastAsia" w:ascii="黑体" w:hAnsi="黑体" w:eastAsia="黑体" w:cs="黑体"/>
          <w:sz w:val="32"/>
          <w:szCs w:val="32"/>
        </w:rPr>
        <w:t>项目单位：</w:t>
      </w:r>
      <w:r>
        <w:rPr>
          <w:rFonts w:hint="eastAsia" w:ascii="黑体" w:hAnsi="黑体" w:eastAsia="黑体" w:cs="黑体"/>
          <w:sz w:val="32"/>
          <w:szCs w:val="32"/>
          <w:u w:val="single"/>
        </w:rPr>
        <w:t xml:space="preserve">   德化县人力资源和社会保障局      </w:t>
      </w:r>
    </w:p>
    <w:p>
      <w:pPr>
        <w:spacing w:line="360" w:lineRule="auto"/>
        <w:ind w:left="1600" w:hanging="1600" w:hangingChars="500"/>
        <w:rPr>
          <w:rFonts w:ascii="黑体" w:hAnsi="黑体" w:eastAsia="黑体" w:cs="黑体"/>
          <w:sz w:val="32"/>
          <w:szCs w:val="32"/>
          <w:u w:val="single"/>
        </w:rPr>
      </w:pPr>
    </w:p>
    <w:p>
      <w:pPr>
        <w:spacing w:line="360" w:lineRule="auto"/>
        <w:ind w:left="1602" w:leftChars="458" w:hanging="640" w:hangingChars="200"/>
        <w:rPr>
          <w:rFonts w:ascii="黑体" w:hAnsi="黑体" w:eastAsia="黑体" w:cs="黑体"/>
          <w:sz w:val="32"/>
          <w:szCs w:val="32"/>
          <w:u w:val="single"/>
        </w:rPr>
      </w:pPr>
      <w:r>
        <w:rPr>
          <w:rFonts w:hint="eastAsia" w:ascii="黑体" w:hAnsi="黑体" w:eastAsia="黑体" w:cs="黑体"/>
          <w:sz w:val="32"/>
          <w:szCs w:val="32"/>
        </w:rPr>
        <w:t>委托单位：</w:t>
      </w:r>
      <w:r>
        <w:rPr>
          <w:rFonts w:hint="eastAsia" w:ascii="黑体" w:hAnsi="黑体" w:eastAsia="黑体" w:cs="黑体"/>
          <w:sz w:val="32"/>
          <w:szCs w:val="32"/>
          <w:u w:val="single"/>
        </w:rPr>
        <w:t xml:space="preserve">         德化县财政局              </w:t>
      </w:r>
    </w:p>
    <w:p>
      <w:pPr>
        <w:pStyle w:val="2"/>
        <w:ind w:firstLine="200"/>
      </w:pPr>
    </w:p>
    <w:p>
      <w:pPr>
        <w:spacing w:line="360" w:lineRule="auto"/>
        <w:ind w:firstLine="960" w:firstLineChars="300"/>
        <w:rPr>
          <w:rFonts w:ascii="黑体" w:hAnsi="黑体" w:eastAsia="黑体" w:cs="黑体"/>
          <w:szCs w:val="32"/>
        </w:rPr>
      </w:pPr>
      <w:r>
        <w:rPr>
          <w:rFonts w:hint="eastAsia" w:ascii="黑体" w:hAnsi="黑体" w:eastAsia="黑体" w:cs="黑体"/>
          <w:sz w:val="32"/>
          <w:szCs w:val="32"/>
        </w:rPr>
        <w:t>项目总金额：</w:t>
      </w:r>
      <w:r>
        <w:rPr>
          <w:rFonts w:hint="eastAsia" w:ascii="黑体" w:hAnsi="黑体" w:eastAsia="黑体" w:cs="黑体"/>
          <w:sz w:val="32"/>
          <w:szCs w:val="32"/>
          <w:u w:val="single"/>
        </w:rPr>
        <w:t xml:space="preserve">        8071.19万元              </w:t>
      </w:r>
    </w:p>
    <w:p>
      <w:pPr>
        <w:pStyle w:val="26"/>
        <w:ind w:firstLine="640"/>
        <w:rPr>
          <w:rFonts w:ascii="黑体" w:hAnsi="黑体" w:eastAsia="黑体" w:cs="黑体"/>
          <w:szCs w:val="32"/>
        </w:rPr>
      </w:pPr>
    </w:p>
    <w:p>
      <w:pPr>
        <w:spacing w:line="360" w:lineRule="auto"/>
        <w:ind w:left="1602" w:leftChars="458" w:hanging="640" w:hangingChars="200"/>
        <w:rPr>
          <w:rFonts w:ascii="黑体" w:hAnsi="黑体" w:eastAsia="黑体" w:cs="黑体"/>
          <w:sz w:val="32"/>
          <w:szCs w:val="32"/>
          <w:u w:val="single"/>
        </w:rPr>
      </w:pPr>
      <w:r>
        <w:rPr>
          <w:rFonts w:hint="eastAsia" w:ascii="黑体" w:hAnsi="黑体" w:eastAsia="黑体" w:cs="黑体"/>
          <w:sz w:val="32"/>
          <w:szCs w:val="32"/>
        </w:rPr>
        <w:t>评价机构：</w:t>
      </w:r>
      <w:r>
        <w:rPr>
          <w:rFonts w:hint="eastAsia" w:ascii="黑体" w:hAnsi="黑体" w:eastAsia="黑体" w:cs="黑体"/>
          <w:sz w:val="32"/>
          <w:szCs w:val="32"/>
          <w:u w:val="single"/>
        </w:rPr>
        <w:t xml:space="preserve">   泉州市启程财务咨询有限公司      </w:t>
      </w:r>
    </w:p>
    <w:p>
      <w:pPr>
        <w:pStyle w:val="26"/>
        <w:ind w:firstLine="640"/>
        <w:rPr>
          <w:rFonts w:ascii="黑体" w:hAnsi="黑体" w:eastAsia="黑体" w:cs="黑体"/>
          <w:szCs w:val="32"/>
        </w:rPr>
      </w:pPr>
    </w:p>
    <w:p>
      <w:pPr>
        <w:spacing w:line="360" w:lineRule="auto"/>
        <w:ind w:left="1602" w:leftChars="458" w:hanging="640" w:hangingChars="200"/>
        <w:rPr>
          <w:rFonts w:ascii="黑体" w:hAnsi="黑体" w:eastAsia="黑体" w:cs="黑体"/>
          <w:sz w:val="32"/>
          <w:szCs w:val="32"/>
          <w:u w:val="single"/>
        </w:rPr>
      </w:pPr>
      <w:r>
        <w:rPr>
          <w:rFonts w:hint="eastAsia" w:ascii="黑体" w:hAnsi="黑体" w:eastAsia="黑体" w:cs="黑体"/>
          <w:sz w:val="32"/>
          <w:szCs w:val="32"/>
        </w:rPr>
        <w:t>评价时间：</w:t>
      </w:r>
      <w:r>
        <w:rPr>
          <w:rFonts w:hint="eastAsia" w:ascii="黑体" w:hAnsi="黑体" w:eastAsia="黑体" w:cs="黑体"/>
          <w:sz w:val="32"/>
          <w:szCs w:val="32"/>
          <w:u w:val="single"/>
        </w:rPr>
        <w:t xml:space="preserve">        2023年10-11月             </w:t>
      </w:r>
    </w:p>
    <w:p>
      <w:pPr>
        <w:spacing w:line="360" w:lineRule="auto"/>
        <w:ind w:left="1600" w:hanging="1600" w:hangingChars="500"/>
        <w:rPr>
          <w:rFonts w:ascii="黑体" w:hAnsi="黑体" w:eastAsia="黑体" w:cs="黑体"/>
          <w:sz w:val="32"/>
          <w:szCs w:val="32"/>
          <w:u w:val="single"/>
        </w:rPr>
      </w:pPr>
    </w:p>
    <w:p>
      <w:pPr>
        <w:pStyle w:val="26"/>
        <w:ind w:firstLine="0" w:firstLineChars="0"/>
        <w:rPr>
          <w:rFonts w:ascii="黑体" w:hAnsi="黑体" w:eastAsia="黑体" w:cs="黑体"/>
          <w:szCs w:val="32"/>
        </w:rPr>
      </w:pPr>
    </w:p>
    <w:p>
      <w:pPr>
        <w:pStyle w:val="12"/>
      </w:pPr>
    </w:p>
    <w:p>
      <w:pPr>
        <w:spacing w:line="360" w:lineRule="auto"/>
        <w:jc w:val="center"/>
        <w:rPr>
          <w:rFonts w:ascii="黑体" w:hAnsi="黑体" w:eastAsia="黑体" w:cs="黑体"/>
          <w:sz w:val="32"/>
          <w:szCs w:val="32"/>
        </w:rPr>
      </w:pPr>
      <w:r>
        <w:rPr>
          <w:rFonts w:hint="eastAsia" w:ascii="黑体" w:hAnsi="黑体" w:eastAsia="黑体" w:cs="黑体"/>
          <w:sz w:val="32"/>
          <w:szCs w:val="32"/>
        </w:rPr>
        <w:t xml:space="preserve">  2023年11月25日</w:t>
      </w:r>
    </w:p>
    <w:p>
      <w:pPr>
        <w:spacing w:line="760" w:lineRule="exact"/>
        <w:jc w:val="center"/>
        <w:rPr>
          <w:rFonts w:ascii="黑体" w:hAnsi="黑体" w:eastAsia="黑体" w:cs="黑体"/>
          <w:bCs/>
          <w:spacing w:val="4"/>
          <w:sz w:val="36"/>
          <w:szCs w:val="36"/>
        </w:rPr>
        <w:sectPr>
          <w:footerReference r:id="rId3" w:type="default"/>
          <w:pgSz w:w="11906" w:h="16838"/>
          <w:pgMar w:top="1440" w:right="1587" w:bottom="1440" w:left="1587" w:header="851" w:footer="992" w:gutter="0"/>
          <w:pgNumType w:start="1"/>
          <w:cols w:space="425" w:num="1"/>
          <w:docGrid w:type="lines" w:linePitch="312" w:charSpace="0"/>
        </w:sectPr>
      </w:pPr>
    </w:p>
    <w:p>
      <w:pPr>
        <w:spacing w:line="760" w:lineRule="exact"/>
        <w:jc w:val="center"/>
        <w:outlineLvl w:val="0"/>
        <w:rPr>
          <w:rFonts w:ascii="黑体" w:hAnsi="黑体" w:eastAsia="黑体" w:cs="黑体"/>
          <w:bCs/>
          <w:spacing w:val="4"/>
          <w:sz w:val="36"/>
          <w:szCs w:val="36"/>
        </w:rPr>
      </w:pPr>
      <w:bookmarkStart w:id="30" w:name="_Toc5923"/>
      <w:bookmarkStart w:id="31" w:name="_Toc23671"/>
      <w:bookmarkStart w:id="32" w:name="_Toc4195"/>
      <w:bookmarkStart w:id="33" w:name="_Toc14776"/>
      <w:r>
        <w:rPr>
          <w:rFonts w:hint="eastAsia" w:ascii="黑体" w:hAnsi="黑体" w:eastAsia="黑体" w:cs="黑体"/>
          <w:bCs/>
          <w:spacing w:val="4"/>
          <w:sz w:val="36"/>
          <w:szCs w:val="36"/>
        </w:rPr>
        <w:t>绩效评价工作组人员名单</w:t>
      </w:r>
      <w:bookmarkEnd w:id="0"/>
      <w:bookmarkEnd w:id="1"/>
      <w:bookmarkEnd w:id="2"/>
      <w:bookmarkEnd w:id="3"/>
      <w:bookmarkEnd w:id="4"/>
      <w:bookmarkEnd w:id="5"/>
      <w:bookmarkEnd w:id="6"/>
      <w:bookmarkEnd w:id="7"/>
      <w:bookmarkEnd w:id="8"/>
      <w:bookmarkEnd w:id="21"/>
      <w:bookmarkEnd w:id="22"/>
      <w:bookmarkEnd w:id="23"/>
      <w:bookmarkEnd w:id="24"/>
      <w:bookmarkEnd w:id="25"/>
      <w:bookmarkEnd w:id="30"/>
      <w:bookmarkEnd w:id="31"/>
      <w:bookmarkEnd w:id="32"/>
      <w:bookmarkEnd w:id="33"/>
    </w:p>
    <w:p>
      <w:pPr>
        <w:pStyle w:val="12"/>
      </w:pPr>
    </w:p>
    <w:tbl>
      <w:tblPr>
        <w:tblStyle w:val="21"/>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128"/>
        <w:gridCol w:w="2359"/>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760" w:lineRule="exact"/>
              <w:jc w:val="center"/>
              <w:rPr>
                <w:rFonts w:ascii="仿宋" w:hAnsi="仿宋" w:eastAsia="仿宋" w:cs="仿宋"/>
                <w:b/>
                <w:bCs/>
                <w:spacing w:val="4"/>
                <w:sz w:val="32"/>
                <w:szCs w:val="32"/>
              </w:rPr>
            </w:pPr>
            <w:r>
              <w:rPr>
                <w:rFonts w:hint="eastAsia" w:ascii="仿宋" w:hAnsi="仿宋" w:eastAsia="仿宋" w:cs="仿宋"/>
                <w:b/>
                <w:bCs/>
                <w:spacing w:val="4"/>
                <w:sz w:val="32"/>
                <w:szCs w:val="32"/>
              </w:rPr>
              <w:t>序号</w:t>
            </w:r>
          </w:p>
        </w:tc>
        <w:tc>
          <w:tcPr>
            <w:tcW w:w="2128" w:type="dxa"/>
          </w:tcPr>
          <w:p>
            <w:pPr>
              <w:spacing w:line="760" w:lineRule="exact"/>
              <w:jc w:val="center"/>
              <w:rPr>
                <w:rFonts w:ascii="仿宋" w:hAnsi="仿宋" w:eastAsia="仿宋" w:cs="仿宋"/>
                <w:b/>
                <w:bCs/>
                <w:spacing w:val="4"/>
                <w:sz w:val="32"/>
                <w:szCs w:val="32"/>
              </w:rPr>
            </w:pPr>
            <w:r>
              <w:rPr>
                <w:rFonts w:hint="eastAsia" w:ascii="仿宋" w:hAnsi="仿宋" w:eastAsia="仿宋" w:cs="仿宋"/>
                <w:b/>
                <w:bCs/>
                <w:spacing w:val="4"/>
                <w:sz w:val="32"/>
                <w:szCs w:val="32"/>
              </w:rPr>
              <w:t>职务</w:t>
            </w:r>
          </w:p>
        </w:tc>
        <w:tc>
          <w:tcPr>
            <w:tcW w:w="2359" w:type="dxa"/>
          </w:tcPr>
          <w:p>
            <w:pPr>
              <w:spacing w:line="760" w:lineRule="exact"/>
              <w:jc w:val="center"/>
              <w:rPr>
                <w:rFonts w:ascii="仿宋" w:hAnsi="仿宋" w:eastAsia="仿宋" w:cs="仿宋"/>
                <w:b/>
                <w:bCs/>
                <w:spacing w:val="4"/>
                <w:sz w:val="32"/>
                <w:szCs w:val="32"/>
              </w:rPr>
            </w:pPr>
            <w:r>
              <w:rPr>
                <w:rFonts w:hint="eastAsia" w:ascii="仿宋" w:hAnsi="仿宋" w:eastAsia="仿宋" w:cs="仿宋"/>
                <w:b/>
                <w:bCs/>
                <w:spacing w:val="4"/>
                <w:sz w:val="32"/>
                <w:szCs w:val="32"/>
              </w:rPr>
              <w:t>姓名</w:t>
            </w:r>
          </w:p>
        </w:tc>
        <w:tc>
          <w:tcPr>
            <w:tcW w:w="2686" w:type="dxa"/>
          </w:tcPr>
          <w:p>
            <w:pPr>
              <w:spacing w:line="760" w:lineRule="exact"/>
              <w:jc w:val="center"/>
              <w:rPr>
                <w:rFonts w:ascii="仿宋" w:hAnsi="仿宋" w:eastAsia="仿宋" w:cs="仿宋"/>
                <w:b/>
                <w:bCs/>
                <w:spacing w:val="4"/>
                <w:sz w:val="32"/>
                <w:szCs w:val="32"/>
              </w:rPr>
            </w:pPr>
            <w:r>
              <w:rPr>
                <w:rFonts w:hint="eastAsia" w:ascii="仿宋" w:hAnsi="仿宋" w:eastAsia="仿宋" w:cs="仿宋"/>
                <w:b/>
                <w:bCs/>
                <w:spacing w:val="4"/>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417"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w:t>
            </w:r>
          </w:p>
        </w:tc>
        <w:tc>
          <w:tcPr>
            <w:tcW w:w="2128"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组长</w:t>
            </w:r>
          </w:p>
        </w:tc>
        <w:tc>
          <w:tcPr>
            <w:tcW w:w="2359"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徐本玉</w:t>
            </w:r>
          </w:p>
        </w:tc>
        <w:tc>
          <w:tcPr>
            <w:tcW w:w="2686"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18606955277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2</w:t>
            </w:r>
          </w:p>
        </w:tc>
        <w:tc>
          <w:tcPr>
            <w:tcW w:w="2128"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副组长</w:t>
            </w:r>
          </w:p>
        </w:tc>
        <w:tc>
          <w:tcPr>
            <w:tcW w:w="2359"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卢婉芳</w:t>
            </w:r>
          </w:p>
        </w:tc>
        <w:tc>
          <w:tcPr>
            <w:tcW w:w="2686"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15060965456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3</w:t>
            </w:r>
          </w:p>
        </w:tc>
        <w:tc>
          <w:tcPr>
            <w:tcW w:w="2128"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组员</w:t>
            </w:r>
          </w:p>
        </w:tc>
        <w:tc>
          <w:tcPr>
            <w:tcW w:w="2359"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陈晓彬</w:t>
            </w:r>
          </w:p>
        </w:tc>
        <w:tc>
          <w:tcPr>
            <w:tcW w:w="2686"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15960567231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4</w:t>
            </w:r>
          </w:p>
        </w:tc>
        <w:tc>
          <w:tcPr>
            <w:tcW w:w="2128"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组员</w:t>
            </w:r>
          </w:p>
        </w:tc>
        <w:tc>
          <w:tcPr>
            <w:tcW w:w="2359"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刘凤阳</w:t>
            </w:r>
          </w:p>
        </w:tc>
        <w:tc>
          <w:tcPr>
            <w:tcW w:w="2686"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13348313607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5</w:t>
            </w:r>
          </w:p>
        </w:tc>
        <w:tc>
          <w:tcPr>
            <w:tcW w:w="2128"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组员</w:t>
            </w:r>
          </w:p>
        </w:tc>
        <w:tc>
          <w:tcPr>
            <w:tcW w:w="2359"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李英</w:t>
            </w:r>
          </w:p>
        </w:tc>
        <w:tc>
          <w:tcPr>
            <w:tcW w:w="2686"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19959520670</w:t>
            </w:r>
          </w:p>
        </w:tc>
      </w:tr>
    </w:tbl>
    <w:p>
      <w:pPr>
        <w:jc w:val="center"/>
        <w:rPr>
          <w:rFonts w:ascii="黑体" w:hAnsi="黑体" w:eastAsia="黑体" w:cs="黑体"/>
          <w:color w:val="843C0B"/>
          <w:sz w:val="30"/>
          <w:szCs w:val="30"/>
        </w:rPr>
      </w:pPr>
    </w:p>
    <w:p>
      <w:pPr>
        <w:spacing w:line="760" w:lineRule="exact"/>
        <w:ind w:firstLine="1485" w:firstLineChars="495"/>
        <w:rPr>
          <w:rFonts w:ascii="宋体" w:hAnsi="宋体"/>
          <w:sz w:val="30"/>
          <w:szCs w:val="30"/>
        </w:rPr>
      </w:pPr>
    </w:p>
    <w:p>
      <w:pPr>
        <w:tabs>
          <w:tab w:val="right" w:leader="dot" w:pos="8447"/>
        </w:tabs>
        <w:spacing w:before="173" w:line="400" w:lineRule="atLeast"/>
        <w:jc w:val="center"/>
        <w:rPr>
          <w:rFonts w:ascii="宋体" w:hAnsi="宋体" w:eastAsia="宋体" w:cs="宋体"/>
          <w:b/>
          <w:bCs/>
          <w:color w:val="000000"/>
          <w:sz w:val="32"/>
          <w:szCs w:val="32"/>
          <w:lang w:val="zh-CN"/>
        </w:rPr>
      </w:pPr>
    </w:p>
    <w:p>
      <w:pPr>
        <w:tabs>
          <w:tab w:val="right" w:leader="dot" w:pos="8447"/>
        </w:tabs>
        <w:spacing w:before="173" w:line="400" w:lineRule="atLeast"/>
        <w:jc w:val="center"/>
        <w:rPr>
          <w:rFonts w:ascii="宋体" w:hAnsi="宋体" w:eastAsia="宋体" w:cs="宋体"/>
          <w:b/>
          <w:bCs/>
          <w:color w:val="000000"/>
          <w:sz w:val="32"/>
          <w:szCs w:val="32"/>
          <w:lang w:val="zh-CN"/>
        </w:rPr>
      </w:pPr>
    </w:p>
    <w:p>
      <w:pPr>
        <w:tabs>
          <w:tab w:val="right" w:leader="dot" w:pos="8447"/>
        </w:tabs>
        <w:spacing w:before="173" w:line="400" w:lineRule="atLeast"/>
        <w:jc w:val="center"/>
        <w:rPr>
          <w:rFonts w:ascii="宋体" w:hAnsi="宋体" w:eastAsia="宋体" w:cs="宋体"/>
          <w:b/>
          <w:bCs/>
          <w:color w:val="000000"/>
          <w:sz w:val="32"/>
          <w:szCs w:val="32"/>
          <w:lang w:val="zh-CN"/>
        </w:rPr>
      </w:pPr>
    </w:p>
    <w:p>
      <w:pPr>
        <w:tabs>
          <w:tab w:val="right" w:leader="dot" w:pos="8447"/>
        </w:tabs>
        <w:spacing w:before="173" w:line="400" w:lineRule="atLeast"/>
        <w:jc w:val="center"/>
        <w:rPr>
          <w:rFonts w:ascii="宋体" w:hAnsi="宋体" w:eastAsia="宋体" w:cs="宋体"/>
          <w:b/>
          <w:bCs/>
          <w:color w:val="000000"/>
          <w:sz w:val="32"/>
          <w:szCs w:val="32"/>
          <w:lang w:val="zh-CN"/>
        </w:rPr>
      </w:pPr>
    </w:p>
    <w:p>
      <w:pPr>
        <w:tabs>
          <w:tab w:val="right" w:leader="dot" w:pos="8447"/>
        </w:tabs>
        <w:spacing w:before="173" w:line="400" w:lineRule="atLeast"/>
        <w:jc w:val="center"/>
        <w:rPr>
          <w:rFonts w:ascii="宋体" w:hAnsi="宋体" w:eastAsia="宋体" w:cs="宋体"/>
          <w:b/>
          <w:bCs/>
          <w:color w:val="000000"/>
          <w:sz w:val="32"/>
          <w:szCs w:val="32"/>
          <w:lang w:val="zh-CN"/>
        </w:rPr>
      </w:pPr>
    </w:p>
    <w:p>
      <w:pPr>
        <w:tabs>
          <w:tab w:val="right" w:leader="dot" w:pos="8447"/>
        </w:tabs>
        <w:spacing w:before="173" w:line="400" w:lineRule="atLeast"/>
        <w:jc w:val="center"/>
        <w:rPr>
          <w:rFonts w:ascii="宋体" w:hAnsi="宋体" w:eastAsia="宋体" w:cs="宋体"/>
          <w:b/>
          <w:bCs/>
          <w:color w:val="000000"/>
          <w:sz w:val="32"/>
          <w:szCs w:val="32"/>
          <w:lang w:val="zh-CN"/>
        </w:rPr>
      </w:pPr>
    </w:p>
    <w:p>
      <w:pPr>
        <w:tabs>
          <w:tab w:val="right" w:leader="dot" w:pos="8447"/>
        </w:tabs>
        <w:spacing w:before="173" w:line="400" w:lineRule="atLeast"/>
        <w:jc w:val="center"/>
        <w:rPr>
          <w:rFonts w:ascii="宋体" w:hAnsi="宋体" w:eastAsia="宋体" w:cs="宋体"/>
          <w:b/>
          <w:bCs/>
          <w:color w:val="000000"/>
          <w:sz w:val="24"/>
          <w:szCs w:val="24"/>
          <w:lang w:val="zh-CN"/>
        </w:rPr>
      </w:pPr>
    </w:p>
    <w:p>
      <w:pPr>
        <w:tabs>
          <w:tab w:val="right" w:leader="dot" w:pos="8447"/>
        </w:tabs>
        <w:spacing w:before="173" w:line="400" w:lineRule="atLeast"/>
        <w:jc w:val="center"/>
        <w:rPr>
          <w:rFonts w:ascii="宋体" w:hAnsi="宋体" w:eastAsia="宋体" w:cs="宋体"/>
          <w:b/>
          <w:bCs/>
          <w:color w:val="000000"/>
          <w:sz w:val="24"/>
          <w:szCs w:val="24"/>
          <w:lang w:val="zh-CN"/>
        </w:rPr>
        <w:sectPr>
          <w:footerReference r:id="rId4" w:type="default"/>
          <w:pgSz w:w="11906" w:h="16838"/>
          <w:pgMar w:top="1440" w:right="1587" w:bottom="1440" w:left="1587" w:header="851" w:footer="992" w:gutter="0"/>
          <w:pgNumType w:start="1"/>
          <w:cols w:space="425" w:num="1"/>
          <w:docGrid w:type="lines" w:linePitch="312" w:charSpace="0"/>
        </w:sectPr>
      </w:pPr>
      <w:bookmarkStart w:id="34" w:name="_Toc30919"/>
    </w:p>
    <w:bookmarkEnd w:id="9"/>
    <w:bookmarkEnd w:id="10"/>
    <w:bookmarkEnd w:id="11"/>
    <w:bookmarkEnd w:id="12"/>
    <w:bookmarkEnd w:id="13"/>
    <w:bookmarkEnd w:id="14"/>
    <w:bookmarkEnd w:id="15"/>
    <w:bookmarkEnd w:id="34"/>
    <w:sdt>
      <w:sdtPr>
        <w:rPr>
          <w:rFonts w:ascii="宋体" w:hAnsi="宋体" w:eastAsia="宋体" w:cstheme="minorBidi"/>
          <w:b/>
          <w:bCs/>
          <w:kern w:val="2"/>
          <w:sz w:val="24"/>
          <w:szCs w:val="24"/>
          <w:lang w:val="en-US" w:eastAsia="zh-CN" w:bidi="ar-SA"/>
        </w:rPr>
        <w:id w:val="147463727"/>
        <w15:color w:val="DBDBDB"/>
        <w:docPartObj>
          <w:docPartGallery w:val="Table of Contents"/>
          <w:docPartUnique/>
        </w:docPartObj>
      </w:sdtPr>
      <w:sdtEndPr>
        <w:rPr>
          <w:rFonts w:ascii="Times New Roman" w:hAnsi="宋体" w:eastAsia="宋体" w:cs="宋体"/>
          <w:b/>
          <w:bCs/>
          <w:kern w:val="0"/>
          <w:sz w:val="24"/>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目</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录</w:t>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kern w:val="0"/>
              <w:sz w:val="24"/>
              <w:szCs w:val="24"/>
            </w:rPr>
            <w:fldChar w:fldCharType="begin"/>
          </w:r>
          <w:r>
            <w:rPr>
              <w:rFonts w:hint="eastAsia" w:ascii="宋体" w:hAnsi="宋体" w:eastAsia="宋体" w:cs="宋体"/>
              <w:b/>
              <w:bCs/>
              <w:kern w:val="0"/>
              <w:sz w:val="24"/>
              <w:szCs w:val="24"/>
            </w:rPr>
            <w:instrText xml:space="preserve">TOC \o "1-3" \h \u </w:instrText>
          </w:r>
          <w:r>
            <w:rPr>
              <w:rFonts w:hint="eastAsia" w:ascii="宋体" w:hAnsi="宋体" w:eastAsia="宋体" w:cs="宋体"/>
              <w:b/>
              <w:bCs/>
              <w:kern w:val="0"/>
              <w:sz w:val="24"/>
              <w:szCs w:val="24"/>
            </w:rPr>
            <w:fldChar w:fldCharType="separate"/>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_Toc3011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 xml:space="preserve">一、 </w:t>
          </w:r>
          <w:r>
            <w:rPr>
              <w:rFonts w:hint="eastAsia" w:ascii="宋体" w:hAnsi="宋体" w:eastAsia="宋体" w:cs="宋体"/>
              <w:bCs/>
              <w:kern w:val="0"/>
              <w:sz w:val="24"/>
              <w:szCs w:val="24"/>
            </w:rPr>
            <w:t>基本概况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_Toc308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（一）</w:t>
          </w:r>
          <w:r>
            <w:rPr>
              <w:rFonts w:hint="eastAsia" w:ascii="宋体" w:hAnsi="宋体" w:eastAsia="宋体" w:cs="宋体"/>
              <w:bCs/>
              <w:spacing w:val="-8"/>
              <w:sz w:val="24"/>
              <w:szCs w:val="24"/>
            </w:rPr>
            <w:t>项目背景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_Toc30996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（二）项目基本情况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_Toc30996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_Toc18057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（三）绩效目标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_Toc18057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_Toc17883 </w:instrText>
          </w:r>
          <w:r>
            <w:rPr>
              <w:rFonts w:hint="eastAsia" w:ascii="宋体" w:hAnsi="宋体" w:eastAsia="宋体" w:cs="宋体"/>
              <w:bCs/>
              <w:kern w:val="0"/>
              <w:sz w:val="24"/>
              <w:szCs w:val="24"/>
            </w:rPr>
            <w:fldChar w:fldCharType="separate"/>
          </w:r>
          <w:r>
            <w:rPr>
              <w:rFonts w:hint="eastAsia" w:ascii="宋体" w:hAnsi="宋体" w:eastAsia="宋体" w:cs="宋体"/>
              <w:kern w:val="0"/>
              <w:sz w:val="24"/>
              <w:szCs w:val="24"/>
            </w:rPr>
            <w:t>1.总体目标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_Toc17883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_Toc15364 </w:instrText>
          </w:r>
          <w:r>
            <w:rPr>
              <w:rFonts w:hint="eastAsia" w:ascii="宋体" w:hAnsi="宋体" w:eastAsia="宋体" w:cs="宋体"/>
              <w:bCs/>
              <w:kern w:val="0"/>
              <w:sz w:val="24"/>
              <w:szCs w:val="24"/>
            </w:rPr>
            <w:fldChar w:fldCharType="separate"/>
          </w:r>
          <w:r>
            <w:rPr>
              <w:rFonts w:hint="eastAsia" w:ascii="宋体" w:hAnsi="宋体" w:eastAsia="宋体" w:cs="宋体"/>
              <w:kern w:val="0"/>
              <w:sz w:val="24"/>
              <w:szCs w:val="24"/>
            </w:rPr>
            <w:t>2.阶段性绩效目标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_Toc15364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_Toc4950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（四）资金使用情况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_Toc4950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_Toc4277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1.资金使用范围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_Toc4277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_Toc10339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2.资金收入支出情况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_Toc10339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_Toc11689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二、绩效评价指标体系设计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_Toc11689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_Toc1499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（一）绩效评价依据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_Toc9674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（二）绩效评价原则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_Toc9674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_Toc16185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（三）绩效评价方法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_Toc16185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_Toc23038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（四）绩效评价过程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_Toc23038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_Toc19450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三、绩效评价体系和评价标准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_Toc19450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_Toc8219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四、绩效评价指标分析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_Toc8219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_Toc24385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（一）项目投入情况（权重为20%，得分19分)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_Toc24385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_Toc9951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1.项目立项（分值为6分）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_Toc9951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_Toc22978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2.绩效目标（分值为6分）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_Toc22978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_Toc6420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3.资金投入（分值为8分）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_Toc6420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_Toc13206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（二）项目过程情况（权重为20%,得分17分）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_Toc13206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_Toc31065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1.资金管理（分值为7分）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_Toc31065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_Toc19496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2.组织实施（分值为8分）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_Toc19496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_Toc31652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3.财务管理（分值为5分）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_Toc31652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_Toc30946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（三）项目产出情况（权重为30%，得分28分）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_Toc30946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_Toc5060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1.产出数量（分值为12分）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_Toc5060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_Toc10812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2.产出质量（分值12分）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_Toc10812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_Toc5287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3.产出时效（分值为3分）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_Toc5287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_Toc25184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4.产出成本（分值为3分）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_Toc25184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_Toc20222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（四）项目效益情况（权重为30%，得分</w:t>
          </w:r>
          <w:r>
            <w:rPr>
              <w:rFonts w:hint="eastAsia" w:ascii="宋体" w:hAnsi="宋体" w:eastAsia="宋体" w:cs="宋体"/>
              <w:bCs/>
              <w:sz w:val="24"/>
              <w:szCs w:val="24"/>
              <w:lang w:val="en-US" w:eastAsia="zh-CN"/>
            </w:rPr>
            <w:t>27</w:t>
          </w:r>
          <w:r>
            <w:rPr>
              <w:rFonts w:hint="eastAsia" w:ascii="宋体" w:hAnsi="宋体" w:eastAsia="宋体" w:cs="宋体"/>
              <w:bCs/>
              <w:sz w:val="24"/>
              <w:szCs w:val="24"/>
            </w:rPr>
            <w:t>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_Toc20222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_Toc20917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1.社会效益（分值为8分）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_Toc20917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_Toc21000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2.经济效益（分值为8分）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_Toc21000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_Toc20762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3.可持续效益（分值为8分）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_Toc20762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_Toc18295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4.满意度（分值为6分）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_Toc18295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_Toc28307 </w:instrText>
          </w:r>
          <w:r>
            <w:rPr>
              <w:rFonts w:hint="eastAsia" w:ascii="宋体" w:hAnsi="宋体" w:eastAsia="宋体" w:cs="宋体"/>
              <w:bCs/>
              <w:kern w:val="0"/>
              <w:sz w:val="24"/>
              <w:szCs w:val="24"/>
            </w:rPr>
            <w:fldChar w:fldCharType="separate"/>
          </w:r>
          <w:r>
            <w:rPr>
              <w:rFonts w:hint="eastAsia" w:ascii="宋体" w:hAnsi="宋体" w:eastAsia="宋体" w:cs="宋体"/>
              <w:kern w:val="0"/>
              <w:sz w:val="24"/>
              <w:szCs w:val="24"/>
            </w:rPr>
            <w:t>五、评价结论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_Toc28307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_Toc27608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六、存在问题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_Toc27608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_Toc10415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（一）信息交换机制不完善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_Toc10415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_Toc28389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（二）乡镇经办队伍建设有待提高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_Toc28389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_Toc5634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（三）政策宣传有待进一步加强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_Toc5634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_Toc9121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七、提出建议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_Toc9121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_Toc24916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（一</w:t>
          </w:r>
          <w:r>
            <w:rPr>
              <w:rFonts w:hint="eastAsia" w:ascii="宋体" w:hAnsi="宋体" w:eastAsia="宋体" w:cs="宋体"/>
              <w:bCs w:val="0"/>
              <w:sz w:val="24"/>
              <w:szCs w:val="24"/>
            </w:rPr>
            <w:t>）优化业务流程</w:t>
          </w:r>
          <w:r>
            <w:rPr>
              <w:rFonts w:hint="eastAsia" w:ascii="宋体" w:hAnsi="宋体" w:eastAsia="宋体" w:cs="宋体"/>
              <w:bCs w:val="0"/>
              <w:sz w:val="24"/>
              <w:szCs w:val="24"/>
              <w:lang w:val="en-US" w:eastAsia="zh-CN"/>
            </w:rPr>
            <w:t>和</w:t>
          </w:r>
          <w:r>
            <w:rPr>
              <w:rFonts w:hint="eastAsia" w:ascii="宋体" w:hAnsi="宋体" w:eastAsia="宋体" w:cs="宋体"/>
              <w:bCs w:val="0"/>
              <w:sz w:val="24"/>
              <w:szCs w:val="24"/>
            </w:rPr>
            <w:t>规范业务操作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_Toc24916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_Toc26169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（二）完善信息交流共享机制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_Toc26169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_Toc2176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（三）利用社交媒体平台多种途径进行政策宣传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_Toc2176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_Toc3575 </w:instrText>
          </w:r>
          <w:r>
            <w:rPr>
              <w:rFonts w:hint="eastAsia" w:ascii="宋体" w:hAnsi="宋体" w:eastAsia="宋体" w:cs="宋体"/>
              <w:bCs/>
              <w:kern w:val="0"/>
              <w:sz w:val="24"/>
              <w:szCs w:val="24"/>
            </w:rPr>
            <w:fldChar w:fldCharType="separate"/>
          </w:r>
          <w:r>
            <w:rPr>
              <w:rFonts w:hint="eastAsia" w:ascii="宋体" w:hAnsi="宋体" w:eastAsia="宋体" w:cs="宋体"/>
              <w:spacing w:val="4"/>
              <w:kern w:val="2"/>
              <w:sz w:val="24"/>
              <w:szCs w:val="24"/>
              <w:highlight w:val="none"/>
              <w:lang w:val="en-US" w:eastAsia="zh-CN"/>
            </w:rPr>
            <w:t>八、</w:t>
          </w:r>
          <w:r>
            <w:rPr>
              <w:rFonts w:hint="eastAsia" w:ascii="宋体" w:hAnsi="宋体" w:eastAsia="宋体" w:cs="宋体"/>
              <w:spacing w:val="4"/>
              <w:kern w:val="2"/>
              <w:sz w:val="24"/>
              <w:szCs w:val="24"/>
              <w:highlight w:val="none"/>
            </w:rPr>
            <w:t>其他需要说明的问题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_Toc3575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_Toc31513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2022年度德化县城乡居民基本养老保险补助资金</w:t>
          </w:r>
          <w:r>
            <w:rPr>
              <w:rFonts w:hint="eastAsia" w:ascii="宋体" w:hAnsi="宋体" w:eastAsia="宋体" w:cs="宋体"/>
              <w:kern w:val="44"/>
              <w:sz w:val="24"/>
              <w:szCs w:val="24"/>
            </w:rPr>
            <w:t>满意度调查问卷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_Toc31513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_Toc13265 </w:instrText>
          </w:r>
          <w:r>
            <w:rPr>
              <w:rFonts w:hint="eastAsia" w:ascii="宋体" w:hAnsi="宋体" w:eastAsia="宋体" w:cs="宋体"/>
              <w:bCs/>
              <w:kern w:val="0"/>
              <w:sz w:val="24"/>
              <w:szCs w:val="24"/>
            </w:rPr>
            <w:fldChar w:fldCharType="separate"/>
          </w:r>
          <w:r>
            <w:rPr>
              <w:rFonts w:hint="eastAsia" w:ascii="宋体" w:hAnsi="宋体" w:eastAsia="宋体" w:cs="宋体"/>
              <w:kern w:val="0"/>
              <w:sz w:val="24"/>
              <w:szCs w:val="24"/>
            </w:rPr>
            <w:t>附件2：</w:t>
          </w:r>
          <w:r>
            <w:rPr>
              <w:rFonts w:hint="eastAsia" w:ascii="宋体" w:hAnsi="宋体" w:eastAsia="宋体" w:cs="宋体"/>
              <w:bCs/>
              <w:kern w:val="0"/>
              <w:sz w:val="24"/>
              <w:szCs w:val="24"/>
            </w:rPr>
            <w:t>德化县城乡居民基本养老保险补助专项资金项目调研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_Toc13265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19"/>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outlineLvl w:val="9"/>
            <w:rPr>
              <w:rFonts w:hAnsi="宋体" w:cs="宋体"/>
              <w:b/>
              <w:bCs/>
              <w:kern w:val="0"/>
              <w:sz w:val="24"/>
              <w:szCs w:val="24"/>
            </w:rPr>
          </w:pPr>
          <w:r>
            <w:rPr>
              <w:rFonts w:hint="eastAsia" w:ascii="宋体" w:hAnsi="宋体" w:eastAsia="宋体" w:cs="宋体"/>
              <w:bCs/>
              <w:kern w:val="0"/>
              <w:sz w:val="24"/>
              <w:szCs w:val="24"/>
            </w:rPr>
            <w:fldChar w:fldCharType="end"/>
          </w:r>
        </w:p>
      </w:sdtContent>
    </w:sdt>
    <w:p>
      <w:pPr>
        <w:pStyle w:val="8"/>
        <w:keepNext w:val="0"/>
        <w:keepLines w:val="0"/>
        <w:pageBreakBefore w:val="0"/>
        <w:kinsoku/>
        <w:wordWrap/>
        <w:overflowPunct/>
        <w:topLinePunct w:val="0"/>
        <w:autoSpaceDE/>
        <w:autoSpaceDN/>
        <w:bidi w:val="0"/>
        <w:adjustRightInd/>
        <w:snapToGrid/>
        <w:spacing w:line="360" w:lineRule="auto"/>
        <w:textAlignment w:val="auto"/>
        <w:rPr>
          <w:rFonts w:ascii="Times New Roman" w:hAnsi="宋体" w:cs="宋体"/>
          <w:b/>
          <w:bCs/>
          <w:kern w:val="0"/>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宋体" w:eastAsia="宋体" w:cs="宋体"/>
          <w:b/>
          <w:bCs/>
          <w:kern w:val="0"/>
          <w:sz w:val="28"/>
          <w:szCs w:val="28"/>
        </w:rPr>
      </w:pPr>
    </w:p>
    <w:p>
      <w:pPr>
        <w:pStyle w:val="12"/>
        <w:keepNext w:val="0"/>
        <w:keepLines w:val="0"/>
        <w:pageBreakBefore w:val="0"/>
        <w:kinsoku/>
        <w:wordWrap/>
        <w:overflowPunct/>
        <w:topLinePunct w:val="0"/>
        <w:autoSpaceDE/>
        <w:autoSpaceDN/>
        <w:bidi w:val="0"/>
        <w:adjustRightInd/>
        <w:snapToGrid/>
        <w:spacing w:line="360" w:lineRule="auto"/>
        <w:textAlignment w:val="auto"/>
      </w:pPr>
    </w:p>
    <w:p>
      <w:pPr>
        <w:pStyle w:val="19"/>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outlineLvl w:val="9"/>
        <w:rPr>
          <w:rFonts w:hAnsi="宋体" w:cs="宋体"/>
          <w:b/>
          <w:bCs/>
          <w:kern w:val="0"/>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19"/>
        <w:spacing w:after="0" w:line="360" w:lineRule="auto"/>
        <w:ind w:left="0" w:leftChars="0" w:firstLine="0" w:firstLineChars="0"/>
        <w:outlineLvl w:val="0"/>
        <w:rPr>
          <w:b/>
          <w:bCs/>
          <w:sz w:val="28"/>
          <w:szCs w:val="28"/>
        </w:rPr>
      </w:pPr>
      <w:bookmarkStart w:id="35" w:name="_Toc3383"/>
      <w:r>
        <w:rPr>
          <w:rFonts w:hint="eastAsia" w:hAnsi="宋体" w:cs="宋体"/>
          <w:b/>
          <w:bCs/>
          <w:kern w:val="0"/>
          <w:sz w:val="28"/>
          <w:szCs w:val="28"/>
        </w:rPr>
        <w:t>2022年度德化县城乡居民基本养老保险补助专项资金绩效评价报告</w:t>
      </w:r>
      <w:bookmarkEnd w:id="35"/>
    </w:p>
    <w:p>
      <w:pPr>
        <w:adjustRightInd w:val="0"/>
        <w:spacing w:line="360" w:lineRule="auto"/>
        <w:ind w:firstLine="560" w:firstLineChars="200"/>
        <w:rPr>
          <w:rFonts w:ascii="Times New Roman" w:eastAsia="宋体"/>
          <w:sz w:val="28"/>
          <w:szCs w:val="28"/>
        </w:rPr>
      </w:pPr>
      <w:r>
        <w:rPr>
          <w:rFonts w:hint="eastAsia" w:ascii="Times New Roman" w:hAnsi="宋体" w:eastAsia="宋体" w:cs="宋体"/>
          <w:kern w:val="0"/>
          <w:sz w:val="28"/>
          <w:szCs w:val="28"/>
        </w:rPr>
        <w:t>为全面实施预算绩效管理，提高财政资金使用效益，建立科学、合理的财政支出绩效评价管理体系，根据《福建省人民政府办公厅转发省财政厅关于全面推进预算绩效管理意见的通知》（闽政办〔2013〕82号）</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福建省财政厅关于印发〈福建省财政支出绩效评价管理办法〉的通知》（闽财绩〔2015〕4号）及《德化县财政局关于</w:t>
      </w:r>
      <w:r>
        <w:rPr>
          <w:rFonts w:hint="eastAsia" w:ascii="Times New Roman" w:hAnsi="宋体" w:eastAsia="宋体" w:cs="宋体"/>
          <w:kern w:val="0"/>
          <w:sz w:val="28"/>
          <w:szCs w:val="28"/>
          <w:lang w:val="en-US" w:eastAsia="zh-CN"/>
        </w:rPr>
        <w:t>印</w:t>
      </w:r>
      <w:r>
        <w:rPr>
          <w:rFonts w:hint="eastAsia" w:ascii="Times New Roman" w:hAnsi="宋体" w:eastAsia="宋体" w:cs="宋体"/>
          <w:kern w:val="0"/>
          <w:sz w:val="28"/>
          <w:szCs w:val="28"/>
        </w:rPr>
        <w:t>发〈德化县财政支出绩效评价管理规定〉的通知》（德财〔2016〕252号）的有关规定，县财政局委托泉州市启程财务咨询有限公司对2022年度德化县人力资源和社会保障局（以下简称“德化县人社局”）申请的城乡居民基本养老保险补助专项资金8071.19万元实施绩效评价，并形成《2022年度德化县城乡居民基本养老保险补助专项资金绩效评价报告》。</w:t>
      </w:r>
    </w:p>
    <w:p>
      <w:pPr>
        <w:numPr>
          <w:ilvl w:val="0"/>
          <w:numId w:val="1"/>
        </w:numPr>
        <w:adjustRightInd w:val="0"/>
        <w:spacing w:before="312" w:beforeLines="100" w:after="156" w:afterLines="50" w:line="360" w:lineRule="auto"/>
        <w:jc w:val="left"/>
        <w:outlineLvl w:val="0"/>
        <w:rPr>
          <w:rFonts w:ascii="Times New Roman" w:eastAsia="宋体"/>
          <w:b/>
          <w:bCs/>
          <w:sz w:val="32"/>
          <w:szCs w:val="28"/>
        </w:rPr>
      </w:pPr>
      <w:bookmarkStart w:id="36" w:name="_Toc28158"/>
      <w:bookmarkStart w:id="37" w:name="_Toc3011"/>
      <w:bookmarkStart w:id="38" w:name="_Toc6086"/>
      <w:r>
        <w:rPr>
          <w:rFonts w:hint="eastAsia" w:ascii="Times New Roman" w:hAnsi="宋体" w:eastAsia="宋体" w:cs="宋体"/>
          <w:b/>
          <w:bCs/>
          <w:kern w:val="0"/>
          <w:sz w:val="32"/>
          <w:szCs w:val="28"/>
        </w:rPr>
        <w:t>基本概况</w:t>
      </w:r>
      <w:bookmarkEnd w:id="36"/>
      <w:bookmarkEnd w:id="37"/>
      <w:bookmarkEnd w:id="38"/>
      <w:bookmarkStart w:id="39" w:name="_Toc21970"/>
      <w:bookmarkStart w:id="40" w:name="_Toc22311"/>
      <w:bookmarkStart w:id="41" w:name="_Toc1109"/>
      <w:bookmarkStart w:id="42" w:name="_Toc16470"/>
      <w:bookmarkStart w:id="43" w:name="_Toc28546"/>
      <w:bookmarkStart w:id="44" w:name="_Toc7948"/>
      <w:bookmarkStart w:id="45" w:name="_Toc5316"/>
      <w:bookmarkStart w:id="46" w:name="_Toc14248"/>
    </w:p>
    <w:bookmarkEnd w:id="39"/>
    <w:bookmarkEnd w:id="40"/>
    <w:bookmarkEnd w:id="41"/>
    <w:bookmarkEnd w:id="42"/>
    <w:p>
      <w:pPr>
        <w:numPr>
          <w:ilvl w:val="0"/>
          <w:numId w:val="2"/>
        </w:numPr>
        <w:adjustRightInd w:val="0"/>
        <w:spacing w:before="156" w:beforeLines="50" w:line="360" w:lineRule="auto"/>
        <w:jc w:val="left"/>
        <w:outlineLvl w:val="1"/>
        <w:rPr>
          <w:rFonts w:ascii="Times New Roman" w:eastAsia="宋体"/>
          <w:b/>
          <w:bCs/>
          <w:sz w:val="30"/>
          <w:szCs w:val="28"/>
        </w:rPr>
      </w:pPr>
      <w:bookmarkStart w:id="47" w:name="_Toc308"/>
      <w:r>
        <w:rPr>
          <w:rFonts w:hint="eastAsia" w:ascii="Times New Roman" w:hAnsi="宋体" w:eastAsia="宋体" w:cs="宋体"/>
          <w:b/>
          <w:bCs/>
          <w:spacing w:val="-8"/>
          <w:sz w:val="30"/>
          <w:szCs w:val="28"/>
        </w:rPr>
        <w:t>项目背景</w:t>
      </w:r>
      <w:bookmarkEnd w:id="43"/>
      <w:bookmarkEnd w:id="44"/>
      <w:bookmarkEnd w:id="45"/>
      <w:bookmarkEnd w:id="46"/>
      <w:bookmarkEnd w:id="47"/>
    </w:p>
    <w:p>
      <w:pPr>
        <w:pStyle w:val="7"/>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随着人口老龄化的加剧，城乡居民的养老问题日益突出，为进一步完善城乡居民的社会保障体系，按照党的十八大精神和十八届三中全会关于整合城乡居民基本养老保险制度的要求，依据《中华人民共和国社会保险法》有关规定，在总结新型农村社会养老保险和城镇居民社会养老保险试点经验的基础上，在全国范围内建立统一的城乡居民基本养老保险制度。德化县人社局下属单位城乡居民保中心，按照省、市、县各级人社部门的工作部署和安排，申请2022年度德化县城乡居民基本养老保险补助专项资金8071.19万元。</w:t>
      </w:r>
    </w:p>
    <w:p>
      <w:pPr>
        <w:adjustRightInd w:val="0"/>
        <w:spacing w:before="156" w:beforeLines="50" w:line="360" w:lineRule="auto"/>
        <w:jc w:val="left"/>
        <w:outlineLvl w:val="1"/>
        <w:rPr>
          <w:rFonts w:ascii="Times New Roman" w:hAnsi="宋体" w:eastAsia="宋体" w:cs="宋体"/>
          <w:b/>
          <w:bCs/>
          <w:kern w:val="0"/>
          <w:sz w:val="30"/>
          <w:szCs w:val="28"/>
        </w:rPr>
      </w:pPr>
      <w:bookmarkStart w:id="48" w:name="_Toc30996"/>
      <w:r>
        <w:rPr>
          <w:rFonts w:hint="eastAsia" w:ascii="Times New Roman" w:hAnsi="宋体" w:eastAsia="宋体" w:cs="宋体"/>
          <w:b/>
          <w:bCs/>
          <w:kern w:val="0"/>
          <w:sz w:val="30"/>
          <w:szCs w:val="28"/>
        </w:rPr>
        <w:t>（二）项目基本情况</w:t>
      </w:r>
      <w:bookmarkEnd w:id="48"/>
    </w:p>
    <w:p>
      <w:pPr>
        <w:spacing w:line="360" w:lineRule="auto"/>
        <w:ind w:firstLine="560" w:firstLineChars="200"/>
        <w:jc w:val="left"/>
        <w:rPr>
          <w:rFonts w:ascii="Times New Roman" w:hAnsi="宋体" w:eastAsia="宋体" w:cs="宋体"/>
          <w:kern w:val="0"/>
          <w:sz w:val="28"/>
          <w:szCs w:val="28"/>
        </w:rPr>
      </w:pPr>
      <w:bookmarkStart w:id="49" w:name="_Toc12434"/>
      <w:bookmarkStart w:id="50" w:name="_Toc18251"/>
      <w:r>
        <w:rPr>
          <w:rFonts w:hint="eastAsia" w:ascii="Times New Roman" w:eastAsia="宋体"/>
          <w:sz w:val="28"/>
        </w:rPr>
        <w:t>城乡居民养老保险养老金待遇由基础养老金和个人账户养老金两部分组成，按规定参加城乡居民养老保险</w:t>
      </w:r>
      <w:r>
        <w:rPr>
          <w:rFonts w:hint="eastAsia" w:ascii="Times New Roman" w:eastAsia="宋体"/>
          <w:sz w:val="28"/>
          <w:lang w:val="en-US" w:eastAsia="zh-CN"/>
        </w:rPr>
        <w:t>的人员</w:t>
      </w:r>
      <w:r>
        <w:rPr>
          <w:rFonts w:hint="eastAsia" w:ascii="Times New Roman" w:eastAsia="宋体"/>
          <w:sz w:val="28"/>
        </w:rPr>
        <w:t>从年满60周岁的次月起开始发放，支付终身。</w:t>
      </w:r>
      <w:r>
        <w:rPr>
          <w:rFonts w:hint="eastAsia" w:ascii="Times New Roman" w:hAnsi="宋体" w:eastAsia="宋体" w:cs="宋体"/>
          <w:kern w:val="0"/>
          <w:sz w:val="28"/>
          <w:szCs w:val="28"/>
        </w:rPr>
        <w:t>根据《国务院关于建立统一的城乡居民基本养老保险制度的意见》（国发〔2014〕8号）、《福建省人民政府关于完善城乡居民基本养老保险制度的实施意见》（闽政〔2014〕49号）等文件精神，德化县从城乡居民实际情况出发，</w:t>
      </w:r>
      <w:bookmarkEnd w:id="49"/>
      <w:bookmarkEnd w:id="50"/>
      <w:bookmarkStart w:id="51" w:name="_Toc28519"/>
      <w:r>
        <w:rPr>
          <w:rFonts w:hint="eastAsia" w:ascii="Times New Roman" w:hAnsi="宋体" w:eastAsia="宋体" w:cs="宋体"/>
          <w:kern w:val="0"/>
          <w:sz w:val="28"/>
          <w:szCs w:val="28"/>
        </w:rPr>
        <w:t>制定了《德化县人民政府关于完善城乡居民基本养老制度的实施意见》（德政〔2014〕367号）及《德化县城乡居民社会养老保险基金财务管理暂行办法》等相应文件</w:t>
      </w:r>
      <w:r>
        <w:rPr>
          <w:rFonts w:hint="eastAsia" w:ascii="Times New Roman" w:hAnsi="宋体" w:eastAsia="宋体" w:cs="宋体"/>
          <w:kern w:val="0"/>
          <w:sz w:val="28"/>
          <w:szCs w:val="28"/>
          <w:lang w:eastAsia="zh-CN"/>
        </w:rPr>
        <w:t>。截至2022年</w:t>
      </w:r>
      <w:r>
        <w:rPr>
          <w:rFonts w:hint="eastAsia" w:ascii="Times New Roman" w:hAnsi="宋体" w:eastAsia="宋体" w:cs="宋体"/>
          <w:kern w:val="0"/>
          <w:sz w:val="28"/>
          <w:szCs w:val="28"/>
        </w:rPr>
        <w:t>12月31日，德化县城乡居民养老保险参保人数达163221人，</w:t>
      </w:r>
      <w:r>
        <w:rPr>
          <w:rFonts w:hint="eastAsia" w:ascii="Times New Roman" w:hAnsi="宋体" w:eastAsia="宋体" w:cs="宋体"/>
          <w:kern w:val="0"/>
          <w:sz w:val="28"/>
          <w:szCs w:val="28"/>
          <w:lang w:val="en-US" w:eastAsia="zh-CN"/>
        </w:rPr>
        <w:t>其中，16-59周岁城乡居民参保人数119867人</w:t>
      </w:r>
      <w:r>
        <w:rPr>
          <w:rFonts w:hint="eastAsia" w:ascii="Times New Roman" w:hAnsi="宋体" w:eastAsia="宋体" w:cs="宋体"/>
          <w:kern w:val="0"/>
          <w:sz w:val="28"/>
          <w:szCs w:val="28"/>
        </w:rPr>
        <w:t>。60周岁以上领取城乡居民养老保险待遇人数达43354人。</w:t>
      </w:r>
      <w:r>
        <w:rPr>
          <w:rFonts w:hint="eastAsia" w:ascii="Times New Roman" w:hAnsi="宋体" w:eastAsia="宋体" w:cs="宋体"/>
          <w:kern w:val="0"/>
          <w:sz w:val="28"/>
          <w:szCs w:val="28"/>
          <w:lang w:val="en-US" w:eastAsia="zh-CN"/>
        </w:rPr>
        <w:t>全年收取个人缴费2284.19万元，缴费率达94.25%。</w:t>
      </w:r>
      <w:r>
        <w:rPr>
          <w:rFonts w:hint="eastAsia" w:ascii="Times New Roman" w:hAnsi="宋体" w:eastAsia="宋体" w:cs="宋体"/>
          <w:kern w:val="0"/>
          <w:sz w:val="28"/>
          <w:szCs w:val="28"/>
        </w:rPr>
        <w:t>基础养老金标准由每人每月130提至每人每月140元。</w:t>
      </w:r>
      <w:r>
        <w:rPr>
          <w:rFonts w:hint="eastAsia" w:ascii="Times New Roman" w:hAnsi="宋体" w:eastAsia="宋体" w:cs="宋体"/>
          <w:kern w:val="0"/>
          <w:sz w:val="28"/>
          <w:szCs w:val="28"/>
          <w:lang w:val="en-US" w:eastAsia="zh-CN"/>
        </w:rPr>
        <w:t>全年发放养老金7722.63万元，养老金按时足额发放。</w:t>
      </w:r>
    </w:p>
    <w:p>
      <w:pPr>
        <w:adjustRightInd w:val="0"/>
        <w:spacing w:before="156" w:beforeLines="50" w:line="360" w:lineRule="auto"/>
        <w:jc w:val="left"/>
        <w:outlineLvl w:val="1"/>
        <w:rPr>
          <w:rFonts w:ascii="Times New Roman" w:hAnsi="宋体" w:eastAsia="宋体" w:cs="宋体"/>
          <w:b/>
          <w:bCs/>
          <w:kern w:val="0"/>
          <w:sz w:val="30"/>
          <w:szCs w:val="28"/>
        </w:rPr>
      </w:pPr>
      <w:bookmarkStart w:id="52" w:name="_Toc18057"/>
      <w:r>
        <w:rPr>
          <w:rFonts w:hint="eastAsia" w:ascii="Times New Roman" w:hAnsi="宋体" w:eastAsia="宋体" w:cs="宋体"/>
          <w:b/>
          <w:bCs/>
          <w:kern w:val="0"/>
          <w:sz w:val="30"/>
          <w:szCs w:val="28"/>
        </w:rPr>
        <w:t>（三）绩效目标</w:t>
      </w:r>
      <w:bookmarkEnd w:id="51"/>
      <w:bookmarkEnd w:id="52"/>
    </w:p>
    <w:p>
      <w:pPr>
        <w:pStyle w:val="7"/>
        <w:spacing w:line="360" w:lineRule="auto"/>
        <w:outlineLvl w:val="2"/>
        <w:rPr>
          <w:rFonts w:ascii="Times New Roman" w:hAnsi="宋体" w:eastAsia="宋体" w:cs="宋体"/>
          <w:b/>
          <w:kern w:val="0"/>
          <w:sz w:val="28"/>
          <w:szCs w:val="28"/>
        </w:rPr>
      </w:pPr>
      <w:bookmarkStart w:id="53" w:name="_Toc17883"/>
      <w:bookmarkStart w:id="54" w:name="_Toc5099"/>
      <w:bookmarkStart w:id="55" w:name="_Toc500226182"/>
      <w:r>
        <w:rPr>
          <w:rFonts w:hint="eastAsia" w:ascii="Times New Roman" w:hAnsi="宋体" w:eastAsia="宋体" w:cs="宋体"/>
          <w:b/>
          <w:kern w:val="0"/>
          <w:sz w:val="28"/>
          <w:szCs w:val="28"/>
        </w:rPr>
        <w:t>1.总体目标</w:t>
      </w:r>
      <w:bookmarkEnd w:id="53"/>
      <w:bookmarkEnd w:id="54"/>
    </w:p>
    <w:p>
      <w:pPr>
        <w:pStyle w:val="3"/>
        <w:spacing w:after="0"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德化县人社局确保省级（含中央）财政补助资金及时到位</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足额发放16-59周岁参保人员的缴费补贴</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lang w:val="en-US" w:eastAsia="zh-CN"/>
        </w:rPr>
        <w:t>并保障</w:t>
      </w:r>
      <w:r>
        <w:rPr>
          <w:rFonts w:hint="eastAsia" w:ascii="Times New Roman" w:hAnsi="宋体" w:eastAsia="宋体" w:cs="宋体"/>
          <w:kern w:val="0"/>
          <w:sz w:val="28"/>
          <w:szCs w:val="28"/>
        </w:rPr>
        <w:t>60周岁及以上待遇领取人员养老金补助有效执行，改善参保群众生活质量</w:t>
      </w:r>
      <w:r>
        <w:rPr>
          <w:rFonts w:hint="eastAsia" w:ascii="Times New Roman" w:hAnsi="宋体" w:eastAsia="宋体" w:cs="宋体"/>
          <w:kern w:val="0"/>
          <w:sz w:val="28"/>
          <w:szCs w:val="28"/>
          <w:lang w:eastAsia="zh-CN"/>
        </w:rPr>
        <w:t>。</w:t>
      </w:r>
    </w:p>
    <w:p>
      <w:pPr>
        <w:pStyle w:val="13"/>
        <w:snapToGrid/>
        <w:spacing w:line="360" w:lineRule="auto"/>
        <w:outlineLvl w:val="2"/>
        <w:rPr>
          <w:rFonts w:ascii="Times New Roman" w:hAnsi="宋体" w:eastAsia="宋体" w:cs="宋体"/>
          <w:b/>
          <w:kern w:val="0"/>
          <w:sz w:val="28"/>
          <w:szCs w:val="28"/>
        </w:rPr>
      </w:pPr>
      <w:bookmarkStart w:id="56" w:name="_Toc25271"/>
      <w:bookmarkStart w:id="57" w:name="_Toc15364"/>
      <w:r>
        <w:rPr>
          <w:rFonts w:hint="eastAsia" w:ascii="Times New Roman" w:hAnsi="宋体" w:eastAsia="宋体" w:cs="宋体"/>
          <w:b/>
          <w:kern w:val="0"/>
          <w:sz w:val="28"/>
          <w:szCs w:val="28"/>
        </w:rPr>
        <w:t>2.阶段性绩效目标</w:t>
      </w:r>
      <w:bookmarkEnd w:id="56"/>
      <w:bookmarkEnd w:id="57"/>
    </w:p>
    <w:p>
      <w:pPr>
        <w:pStyle w:val="13"/>
        <w:snapToGrid/>
        <w:spacing w:line="360" w:lineRule="auto"/>
        <w:rPr>
          <w:rFonts w:hint="eastAsia" w:ascii="Times New Roman" w:hAnsi="宋体" w:eastAsia="宋体" w:cs="宋体"/>
          <w:kern w:val="0"/>
          <w:sz w:val="28"/>
          <w:szCs w:val="28"/>
          <w:lang w:eastAsia="zh-CN"/>
        </w:rPr>
      </w:pPr>
      <w:r>
        <w:rPr>
          <w:rFonts w:hint="eastAsia" w:ascii="Times New Roman" w:hAnsi="宋体" w:eastAsia="宋体" w:cs="宋体"/>
          <w:kern w:val="0"/>
          <w:sz w:val="28"/>
          <w:szCs w:val="28"/>
          <w:lang w:val="en-US" w:eastAsia="zh-CN"/>
        </w:rPr>
        <w:t>2022年度</w:t>
      </w:r>
      <w:r>
        <w:rPr>
          <w:rFonts w:hint="eastAsia" w:ascii="Times New Roman" w:hAnsi="宋体" w:eastAsia="宋体" w:cs="宋体"/>
          <w:kern w:val="0"/>
          <w:sz w:val="28"/>
          <w:szCs w:val="28"/>
        </w:rPr>
        <w:t>城乡居民基本养老保险省级补助资金项目绩效目标表详见表1</w:t>
      </w:r>
      <w:r>
        <w:rPr>
          <w:rFonts w:hint="eastAsia" w:ascii="Times New Roman" w:hAnsi="宋体" w:eastAsia="宋体" w:cs="宋体"/>
          <w:kern w:val="0"/>
          <w:sz w:val="28"/>
          <w:szCs w:val="28"/>
          <w:lang w:eastAsia="zh-CN"/>
        </w:rPr>
        <w:t>。</w:t>
      </w:r>
    </w:p>
    <w:bookmarkEnd w:id="55"/>
    <w:p>
      <w:pPr>
        <w:adjustRightInd w:val="0"/>
        <w:spacing w:line="360" w:lineRule="auto"/>
        <w:jc w:val="center"/>
        <w:outlineLvl w:val="1"/>
        <w:rPr>
          <w:rFonts w:ascii="Times New Roman" w:hAnsi="宋体" w:eastAsia="宋体" w:cs="宋体"/>
          <w:b w:val="0"/>
          <w:bCs w:val="0"/>
          <w:kern w:val="0"/>
          <w:sz w:val="28"/>
          <w:szCs w:val="30"/>
        </w:rPr>
      </w:pPr>
      <w:bookmarkStart w:id="58" w:name="_Toc29034"/>
      <w:bookmarkStart w:id="59" w:name="_Toc29487"/>
      <w:bookmarkStart w:id="60" w:name="_Toc15266"/>
      <w:bookmarkStart w:id="61" w:name="_Toc10993"/>
      <w:r>
        <w:rPr>
          <w:rFonts w:hint="eastAsia" w:ascii="Times New Roman" w:hAnsi="宋体" w:eastAsia="宋体" w:cs="宋体"/>
          <w:b/>
          <w:bCs/>
          <w:kern w:val="0"/>
          <w:sz w:val="24"/>
          <w:szCs w:val="32"/>
        </w:rPr>
        <w:t>表1：</w:t>
      </w:r>
      <w:bookmarkEnd w:id="58"/>
      <w:bookmarkEnd w:id="59"/>
      <w:bookmarkEnd w:id="60"/>
      <w:bookmarkEnd w:id="61"/>
      <w:bookmarkStart w:id="62" w:name="_Toc5794"/>
      <w:bookmarkStart w:id="63" w:name="_Toc6954"/>
      <w:bookmarkStart w:id="64" w:name="_Toc31763"/>
      <w:r>
        <w:rPr>
          <w:rFonts w:hint="eastAsia" w:ascii="Times New Roman" w:hAnsi="宋体" w:eastAsia="宋体" w:cs="宋体"/>
          <w:b/>
          <w:bCs/>
          <w:kern w:val="0"/>
          <w:sz w:val="28"/>
          <w:szCs w:val="30"/>
          <w:lang w:bidi="ar"/>
        </w:rPr>
        <w:t>城乡居民基本养老保险省级补助资金项目绩效目标表</w:t>
      </w:r>
      <w:bookmarkEnd w:id="62"/>
      <w:bookmarkEnd w:id="63"/>
      <w:bookmarkEnd w:id="64"/>
    </w:p>
    <w:tbl>
      <w:tblPr>
        <w:tblStyle w:val="20"/>
        <w:tblW w:w="8742" w:type="dxa"/>
        <w:jc w:val="center"/>
        <w:tblDescription w:val="{&quot;row&quot;:{&quot;emphasizeNum&quot;:1,&quot;emphasizeType&quot;:1,&quot;originStyle&quot;:{&quot;bBoldFont&quot;:false,&quot;bValid&quot;:true,&quot;backgroundColor&quot;:&quot;#4684d3&quot;,&quot;borders&quot;:[{&quot;borderColor&quot;:&quot;#dddddd&quot;,&quot;borderType&quot;:-4,&quot;lineStyle&quot;:1,&quot;lineWidth&quot;:4},{&quot;borderColor&quot;:&quot;#dddddd&quot;,&quot;borderType&quot;:-3,&quot;lineStyle&quot;:1,&quot;lineWidth&quot;:4},{&quot;borderColor&quot;:&quot;#4684d3&quot;,&quot;borderType&quot;:-2,&quot;lineStyle&quot;:1,&quot;lineWidth&quot;:4},{&quot;borderColor&quot;:&quot;#4684d3&quot;,&quot;borderType&quot;:-1,&quot;lineStyle&quot;:1,&quot;lineWidth&quot;:4}],&quot;fontColor&quot;:&quot;#000000&quot;}},&quot;styleId&quot;: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72"/>
        <w:gridCol w:w="1575"/>
        <w:gridCol w:w="2053"/>
        <w:gridCol w:w="1091"/>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shd w:val="clear" w:color="auto" w:fill="FEFEFE"/>
            <w:vAlign w:val="center"/>
          </w:tcPr>
          <w:p>
            <w:pPr>
              <w:widowControl/>
              <w:jc w:val="center"/>
              <w:textAlignment w:val="center"/>
              <w:rPr>
                <w:rFonts w:ascii="宋体" w:hAnsi="宋体" w:eastAsia="宋体" w:cs="宋体"/>
                <w:b w:val="0"/>
                <w:bCs/>
                <w:color w:val="000000"/>
                <w:kern w:val="0"/>
                <w:sz w:val="22"/>
                <w:szCs w:val="22"/>
                <w:lang w:bidi="ar"/>
              </w:rPr>
            </w:pPr>
            <w:r>
              <w:rPr>
                <w:rFonts w:hint="eastAsia" w:ascii="宋体" w:hAnsi="宋体" w:eastAsia="宋体" w:cs="宋体"/>
                <w:b w:val="0"/>
                <w:bCs/>
                <w:color w:val="000000"/>
                <w:kern w:val="0"/>
                <w:sz w:val="22"/>
                <w:szCs w:val="22"/>
                <w:lang w:bidi="ar"/>
              </w:rPr>
              <w:t>绩效目标</w:t>
            </w:r>
          </w:p>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指标</w:t>
            </w:r>
          </w:p>
        </w:tc>
        <w:tc>
          <w:tcPr>
            <w:tcW w:w="1372" w:type="dxa"/>
            <w:shd w:val="clear" w:color="auto" w:fill="FEFEFE"/>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一级指标</w:t>
            </w:r>
          </w:p>
        </w:tc>
        <w:tc>
          <w:tcPr>
            <w:tcW w:w="1575" w:type="dxa"/>
            <w:shd w:val="clear" w:color="auto" w:fill="FEFEFE"/>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二级指标</w:t>
            </w:r>
          </w:p>
        </w:tc>
        <w:tc>
          <w:tcPr>
            <w:tcW w:w="2053" w:type="dxa"/>
            <w:shd w:val="clear" w:color="auto" w:fill="FEFEFE"/>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三级指标</w:t>
            </w:r>
          </w:p>
        </w:tc>
        <w:tc>
          <w:tcPr>
            <w:tcW w:w="1091" w:type="dxa"/>
            <w:shd w:val="clear" w:color="auto" w:fill="FEFEFE"/>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2022年目标值</w:t>
            </w:r>
          </w:p>
        </w:tc>
        <w:tc>
          <w:tcPr>
            <w:tcW w:w="1347" w:type="dxa"/>
            <w:shd w:val="clear" w:color="auto" w:fill="FEFEFE"/>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Merge w:val="restart"/>
            <w:shd w:val="clear" w:color="auto" w:fill="FEFEFE"/>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绩效指标</w:t>
            </w:r>
          </w:p>
        </w:tc>
        <w:tc>
          <w:tcPr>
            <w:tcW w:w="1372" w:type="dxa"/>
            <w:vMerge w:val="restart"/>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产出指标</w:t>
            </w:r>
          </w:p>
        </w:tc>
        <w:tc>
          <w:tcPr>
            <w:tcW w:w="1575"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数量指标</w:t>
            </w:r>
          </w:p>
        </w:tc>
        <w:tc>
          <w:tcPr>
            <w:tcW w:w="2053"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待遇领取有数</w:t>
            </w:r>
          </w:p>
        </w:tc>
        <w:tc>
          <w:tcPr>
            <w:tcW w:w="1091"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41450</w:t>
            </w:r>
          </w:p>
        </w:tc>
        <w:tc>
          <w:tcPr>
            <w:tcW w:w="1347"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04" w:type="dxa"/>
            <w:vMerge w:val="continue"/>
            <w:shd w:val="clear" w:color="auto" w:fill="FEFEFE"/>
            <w:vAlign w:val="center"/>
          </w:tcPr>
          <w:p>
            <w:pPr>
              <w:jc w:val="center"/>
              <w:rPr>
                <w:rFonts w:ascii="宋体" w:hAnsi="宋体" w:eastAsia="宋体" w:cs="宋体"/>
                <w:b w:val="0"/>
                <w:bCs/>
                <w:color w:val="000000"/>
                <w:sz w:val="22"/>
                <w:szCs w:val="22"/>
              </w:rPr>
            </w:pPr>
          </w:p>
        </w:tc>
        <w:tc>
          <w:tcPr>
            <w:tcW w:w="1372" w:type="dxa"/>
            <w:vMerge w:val="continue"/>
            <w:shd w:val="clear" w:color="auto" w:fill="FEFEFE"/>
            <w:noWrap/>
            <w:vAlign w:val="center"/>
          </w:tcPr>
          <w:p>
            <w:pPr>
              <w:jc w:val="center"/>
              <w:rPr>
                <w:rFonts w:ascii="宋体" w:hAnsi="宋体" w:eastAsia="宋体" w:cs="宋体"/>
                <w:b w:val="0"/>
                <w:bCs/>
                <w:color w:val="000000"/>
                <w:sz w:val="22"/>
                <w:szCs w:val="22"/>
              </w:rPr>
            </w:pPr>
          </w:p>
        </w:tc>
        <w:tc>
          <w:tcPr>
            <w:tcW w:w="1575"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质量指标</w:t>
            </w:r>
          </w:p>
        </w:tc>
        <w:tc>
          <w:tcPr>
            <w:tcW w:w="2053"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养老金发放率</w:t>
            </w:r>
          </w:p>
        </w:tc>
        <w:tc>
          <w:tcPr>
            <w:tcW w:w="1091"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100</w:t>
            </w:r>
          </w:p>
        </w:tc>
        <w:tc>
          <w:tcPr>
            <w:tcW w:w="1347"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Merge w:val="continue"/>
            <w:shd w:val="clear" w:color="auto" w:fill="FEFEFE"/>
            <w:vAlign w:val="center"/>
          </w:tcPr>
          <w:p>
            <w:pPr>
              <w:jc w:val="center"/>
              <w:rPr>
                <w:rFonts w:ascii="宋体" w:hAnsi="宋体" w:eastAsia="宋体" w:cs="宋体"/>
                <w:b w:val="0"/>
                <w:bCs/>
                <w:color w:val="000000"/>
                <w:sz w:val="22"/>
                <w:szCs w:val="22"/>
              </w:rPr>
            </w:pPr>
          </w:p>
        </w:tc>
        <w:tc>
          <w:tcPr>
            <w:tcW w:w="1372" w:type="dxa"/>
            <w:vMerge w:val="continue"/>
            <w:shd w:val="clear" w:color="auto" w:fill="FEFEFE"/>
            <w:noWrap/>
            <w:vAlign w:val="center"/>
          </w:tcPr>
          <w:p>
            <w:pPr>
              <w:jc w:val="center"/>
              <w:rPr>
                <w:rFonts w:ascii="宋体" w:hAnsi="宋体" w:eastAsia="宋体" w:cs="宋体"/>
                <w:b w:val="0"/>
                <w:bCs/>
                <w:color w:val="000000"/>
                <w:sz w:val="22"/>
                <w:szCs w:val="22"/>
              </w:rPr>
            </w:pPr>
          </w:p>
        </w:tc>
        <w:tc>
          <w:tcPr>
            <w:tcW w:w="1575"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时效指标</w:t>
            </w:r>
          </w:p>
        </w:tc>
        <w:tc>
          <w:tcPr>
            <w:tcW w:w="2053"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每月按时发放养老金率</w:t>
            </w:r>
          </w:p>
        </w:tc>
        <w:tc>
          <w:tcPr>
            <w:tcW w:w="1091"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100</w:t>
            </w:r>
          </w:p>
        </w:tc>
        <w:tc>
          <w:tcPr>
            <w:tcW w:w="1347"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Merge w:val="continue"/>
            <w:shd w:val="clear" w:color="auto" w:fill="FEFEFE"/>
            <w:vAlign w:val="center"/>
          </w:tcPr>
          <w:p>
            <w:pPr>
              <w:jc w:val="center"/>
              <w:rPr>
                <w:rFonts w:ascii="宋体" w:hAnsi="宋体" w:eastAsia="宋体" w:cs="宋体"/>
                <w:b w:val="0"/>
                <w:bCs/>
                <w:color w:val="000000"/>
                <w:sz w:val="22"/>
                <w:szCs w:val="22"/>
              </w:rPr>
            </w:pPr>
          </w:p>
        </w:tc>
        <w:tc>
          <w:tcPr>
            <w:tcW w:w="1372" w:type="dxa"/>
            <w:vMerge w:val="continue"/>
            <w:shd w:val="clear" w:color="auto" w:fill="FEFEFE"/>
            <w:noWrap/>
            <w:vAlign w:val="center"/>
          </w:tcPr>
          <w:p>
            <w:pPr>
              <w:jc w:val="center"/>
              <w:rPr>
                <w:rFonts w:ascii="宋体" w:hAnsi="宋体" w:eastAsia="宋体" w:cs="宋体"/>
                <w:b w:val="0"/>
                <w:bCs/>
                <w:color w:val="000000"/>
                <w:sz w:val="22"/>
                <w:szCs w:val="22"/>
              </w:rPr>
            </w:pPr>
          </w:p>
        </w:tc>
        <w:tc>
          <w:tcPr>
            <w:tcW w:w="1575"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成本指标</w:t>
            </w:r>
          </w:p>
        </w:tc>
        <w:tc>
          <w:tcPr>
            <w:tcW w:w="2053"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基础养老金月人均发放水平</w:t>
            </w:r>
          </w:p>
        </w:tc>
        <w:tc>
          <w:tcPr>
            <w:tcW w:w="1091"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1</w:t>
            </w:r>
            <w:r>
              <w:rPr>
                <w:rFonts w:hint="eastAsia" w:ascii="宋体" w:hAnsi="宋体" w:eastAsia="宋体" w:cs="宋体"/>
                <w:b w:val="0"/>
                <w:bCs/>
                <w:color w:val="000000"/>
                <w:kern w:val="0"/>
                <w:sz w:val="22"/>
                <w:szCs w:val="22"/>
                <w:lang w:val="en-US" w:eastAsia="zh-CN" w:bidi="ar"/>
              </w:rPr>
              <w:t>4</w:t>
            </w:r>
            <w:r>
              <w:rPr>
                <w:rFonts w:hint="eastAsia" w:ascii="宋体" w:hAnsi="宋体" w:eastAsia="宋体" w:cs="宋体"/>
                <w:b w:val="0"/>
                <w:bCs/>
                <w:color w:val="000000"/>
                <w:kern w:val="0"/>
                <w:sz w:val="22"/>
                <w:szCs w:val="22"/>
                <w:lang w:bidi="ar"/>
              </w:rPr>
              <w:t>0</w:t>
            </w:r>
          </w:p>
        </w:tc>
        <w:tc>
          <w:tcPr>
            <w:tcW w:w="1347"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04" w:type="dxa"/>
            <w:vMerge w:val="continue"/>
            <w:shd w:val="clear" w:color="auto" w:fill="FEFEFE"/>
            <w:vAlign w:val="center"/>
          </w:tcPr>
          <w:p>
            <w:pPr>
              <w:jc w:val="center"/>
              <w:rPr>
                <w:rFonts w:ascii="宋体" w:hAnsi="宋体" w:eastAsia="宋体" w:cs="宋体"/>
                <w:b w:val="0"/>
                <w:bCs/>
                <w:color w:val="000000"/>
                <w:sz w:val="22"/>
                <w:szCs w:val="22"/>
              </w:rPr>
            </w:pPr>
          </w:p>
        </w:tc>
        <w:tc>
          <w:tcPr>
            <w:tcW w:w="1372"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效益指标</w:t>
            </w:r>
          </w:p>
        </w:tc>
        <w:tc>
          <w:tcPr>
            <w:tcW w:w="1575"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社会效益指标</w:t>
            </w:r>
          </w:p>
        </w:tc>
        <w:tc>
          <w:tcPr>
            <w:tcW w:w="2053"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政策知晓率</w:t>
            </w:r>
          </w:p>
        </w:tc>
        <w:tc>
          <w:tcPr>
            <w:tcW w:w="1091"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98</w:t>
            </w:r>
          </w:p>
        </w:tc>
        <w:tc>
          <w:tcPr>
            <w:tcW w:w="1347"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Merge w:val="continue"/>
            <w:shd w:val="clear" w:color="auto" w:fill="FEFEFE"/>
            <w:vAlign w:val="center"/>
          </w:tcPr>
          <w:p>
            <w:pPr>
              <w:jc w:val="center"/>
              <w:rPr>
                <w:rFonts w:ascii="宋体" w:hAnsi="宋体" w:eastAsia="宋体" w:cs="宋体"/>
                <w:b w:val="0"/>
                <w:bCs/>
                <w:color w:val="000000"/>
                <w:sz w:val="22"/>
                <w:szCs w:val="22"/>
              </w:rPr>
            </w:pPr>
          </w:p>
        </w:tc>
        <w:tc>
          <w:tcPr>
            <w:tcW w:w="1372"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满意度指标</w:t>
            </w:r>
          </w:p>
        </w:tc>
        <w:tc>
          <w:tcPr>
            <w:tcW w:w="1575"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服务对象满意度指标</w:t>
            </w:r>
          </w:p>
        </w:tc>
        <w:tc>
          <w:tcPr>
            <w:tcW w:w="2053"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参保群众满意度</w:t>
            </w:r>
          </w:p>
        </w:tc>
        <w:tc>
          <w:tcPr>
            <w:tcW w:w="1091"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95</w:t>
            </w:r>
          </w:p>
        </w:tc>
        <w:tc>
          <w:tcPr>
            <w:tcW w:w="1347" w:type="dxa"/>
            <w:shd w:val="clear" w:color="auto" w:fill="FEFEFE"/>
            <w:noWrap/>
            <w:vAlign w:val="center"/>
          </w:tcPr>
          <w:p>
            <w:pPr>
              <w:widowControl/>
              <w:jc w:val="center"/>
              <w:textAlignment w:val="center"/>
              <w:rPr>
                <w:rFonts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w:t>
            </w:r>
          </w:p>
        </w:tc>
      </w:tr>
    </w:tbl>
    <w:p>
      <w:pPr>
        <w:adjustRightInd w:val="0"/>
        <w:spacing w:before="156" w:beforeLines="50" w:line="360" w:lineRule="auto"/>
        <w:jc w:val="left"/>
        <w:outlineLvl w:val="1"/>
        <w:rPr>
          <w:rFonts w:ascii="Times New Roman" w:hAnsi="宋体" w:eastAsia="宋体" w:cs="宋体"/>
          <w:b/>
          <w:bCs/>
          <w:kern w:val="0"/>
          <w:sz w:val="30"/>
          <w:szCs w:val="28"/>
        </w:rPr>
      </w:pPr>
      <w:bookmarkStart w:id="65" w:name="_Toc10630"/>
      <w:bookmarkStart w:id="66" w:name="_Toc18347"/>
      <w:bookmarkStart w:id="67" w:name="_Toc18341"/>
      <w:bookmarkStart w:id="68" w:name="_Toc10583"/>
      <w:bookmarkStart w:id="69" w:name="_Toc4950"/>
      <w:r>
        <w:rPr>
          <w:rFonts w:hint="eastAsia" w:ascii="Times New Roman" w:hAnsi="宋体" w:eastAsia="宋体" w:cs="宋体"/>
          <w:b/>
          <w:bCs/>
          <w:kern w:val="0"/>
          <w:sz w:val="30"/>
          <w:szCs w:val="28"/>
        </w:rPr>
        <w:t>（四）资金</w:t>
      </w:r>
      <w:bookmarkEnd w:id="65"/>
      <w:bookmarkEnd w:id="66"/>
      <w:bookmarkEnd w:id="67"/>
      <w:bookmarkEnd w:id="68"/>
      <w:r>
        <w:rPr>
          <w:rFonts w:hint="eastAsia" w:ascii="Times New Roman" w:hAnsi="宋体" w:eastAsia="宋体" w:cs="宋体"/>
          <w:b/>
          <w:bCs/>
          <w:kern w:val="0"/>
          <w:sz w:val="30"/>
          <w:szCs w:val="28"/>
        </w:rPr>
        <w:t>使用情况</w:t>
      </w:r>
      <w:bookmarkEnd w:id="69"/>
    </w:p>
    <w:p>
      <w:pPr>
        <w:spacing w:line="360" w:lineRule="auto"/>
        <w:jc w:val="left"/>
        <w:outlineLvl w:val="2"/>
        <w:rPr>
          <w:rFonts w:ascii="Times New Roman" w:hAnsi="宋体" w:eastAsia="宋体" w:cs="宋体"/>
          <w:b/>
          <w:bCs/>
          <w:kern w:val="0"/>
          <w:sz w:val="28"/>
          <w:szCs w:val="28"/>
        </w:rPr>
      </w:pPr>
      <w:bookmarkStart w:id="70" w:name="_Toc14002"/>
      <w:bookmarkStart w:id="71" w:name="_Toc4277"/>
      <w:bookmarkStart w:id="72" w:name="_Toc1819"/>
      <w:r>
        <w:rPr>
          <w:rFonts w:hint="eastAsia" w:ascii="Times New Roman" w:hAnsi="宋体" w:eastAsia="宋体" w:cs="宋体"/>
          <w:b/>
          <w:bCs/>
          <w:kern w:val="0"/>
          <w:sz w:val="28"/>
          <w:szCs w:val="28"/>
        </w:rPr>
        <w:t>1.资金使用范围</w:t>
      </w:r>
      <w:bookmarkEnd w:id="70"/>
      <w:bookmarkEnd w:id="71"/>
    </w:p>
    <w:p>
      <w:pPr>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（1）在德化县行政区域内，年满16周岁（不含在校学生），非国家机关和事业单位工作人员及不属于职工基本养老保险制度覆盖范围的城乡居民，可以在户籍地参加城乡居民养老保险。</w:t>
      </w:r>
    </w:p>
    <w:p>
      <w:pPr>
        <w:spacing w:line="360" w:lineRule="auto"/>
        <w:ind w:firstLine="560" w:firstLineChars="200"/>
        <w:rPr>
          <w:rFonts w:ascii="Times New Roman" w:eastAsia="宋体"/>
          <w:sz w:val="28"/>
        </w:rPr>
      </w:pPr>
      <w:r>
        <w:rPr>
          <w:rFonts w:hint="eastAsia" w:ascii="Times New Roman" w:hAnsi="宋体" w:eastAsia="宋体" w:cs="宋体"/>
          <w:kern w:val="0"/>
          <w:sz w:val="28"/>
          <w:szCs w:val="28"/>
        </w:rPr>
        <w:t>（2）持有德化县居住证的我省户籍人员（不含厦门市），可以按规定参加德化县城乡居民养老保险，具体办法按照《福建省人力资源和社会保障厅 福建省财政厅关于我省城乡居民在省内异地参加城乡居民社会养老保险有关问题的通知》（闽人社文〔2014〕38号）执行。</w:t>
      </w:r>
      <w:bookmarkEnd w:id="72"/>
    </w:p>
    <w:p>
      <w:pPr>
        <w:spacing w:line="360" w:lineRule="auto"/>
        <w:jc w:val="left"/>
        <w:outlineLvl w:val="2"/>
        <w:rPr>
          <w:rFonts w:ascii="Times New Roman" w:hAnsi="宋体" w:eastAsia="宋体" w:cs="宋体"/>
          <w:b/>
          <w:bCs/>
          <w:kern w:val="0"/>
          <w:sz w:val="28"/>
          <w:szCs w:val="28"/>
        </w:rPr>
      </w:pPr>
      <w:bookmarkStart w:id="73" w:name="_Toc29708"/>
      <w:bookmarkStart w:id="74" w:name="_Toc10339"/>
      <w:bookmarkStart w:id="75" w:name="_Toc26992"/>
      <w:bookmarkStart w:id="76" w:name="_Toc25397"/>
      <w:r>
        <w:rPr>
          <w:rFonts w:hint="eastAsia" w:ascii="Times New Roman" w:hAnsi="宋体" w:eastAsia="宋体" w:cs="宋体"/>
          <w:b/>
          <w:bCs/>
          <w:kern w:val="0"/>
          <w:sz w:val="28"/>
          <w:szCs w:val="28"/>
        </w:rPr>
        <w:t>2.资金收入支出情况</w:t>
      </w:r>
      <w:bookmarkEnd w:id="73"/>
      <w:bookmarkEnd w:id="74"/>
      <w:bookmarkEnd w:id="75"/>
      <w:bookmarkEnd w:id="76"/>
    </w:p>
    <w:p>
      <w:pPr>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城乡居民基本养老保险基金由个人缴费、集体补助、政府补贴构成，城乡居民基本养老保险</w:t>
      </w:r>
      <w:r>
        <w:rPr>
          <w:rFonts w:hint="eastAsia" w:ascii="Times New Roman" w:hAnsi="宋体" w:eastAsia="宋体" w:cs="宋体"/>
          <w:kern w:val="0"/>
          <w:sz w:val="28"/>
          <w:szCs w:val="28"/>
          <w:lang w:val="en-US" w:eastAsia="zh-CN"/>
        </w:rPr>
        <w:t>基</w:t>
      </w:r>
      <w:r>
        <w:rPr>
          <w:rFonts w:hint="eastAsia" w:ascii="Times New Roman" w:hAnsi="宋体" w:eastAsia="宋体" w:cs="宋体"/>
          <w:kern w:val="0"/>
          <w:sz w:val="28"/>
          <w:szCs w:val="28"/>
        </w:rPr>
        <w:t>金筹集用于发放社会基础养老金。</w:t>
      </w:r>
    </w:p>
    <w:p>
      <w:pPr>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2022年城乡居民基本养老保险补助收入合计8071.19万元。其中，缴费补助收入453.25万</w:t>
      </w:r>
      <w:r>
        <w:rPr>
          <w:rFonts w:hint="eastAsia" w:ascii="Times New Roman" w:hAnsi="宋体" w:eastAsia="宋体" w:cs="宋体"/>
          <w:kern w:val="0"/>
          <w:sz w:val="28"/>
          <w:szCs w:val="28"/>
          <w:lang w:val="en-US" w:eastAsia="zh-CN"/>
        </w:rPr>
        <w:t>元</w:t>
      </w:r>
      <w:r>
        <w:rPr>
          <w:rFonts w:hint="eastAsia" w:ascii="Times New Roman" w:hAnsi="宋体" w:eastAsia="宋体" w:cs="宋体"/>
          <w:kern w:val="0"/>
          <w:sz w:val="28"/>
          <w:szCs w:val="28"/>
        </w:rPr>
        <w:t>，基础养老金补助收入7266.</w:t>
      </w:r>
      <w:r>
        <w:rPr>
          <w:rFonts w:hint="eastAsia" w:ascii="Times New Roman" w:hAnsi="宋体" w:eastAsia="宋体" w:cs="宋体"/>
          <w:kern w:val="0"/>
          <w:sz w:val="28"/>
          <w:szCs w:val="28"/>
          <w:lang w:val="en-US" w:eastAsia="zh-CN"/>
        </w:rPr>
        <w:t>54</w:t>
      </w:r>
      <w:r>
        <w:rPr>
          <w:rFonts w:hint="eastAsia" w:ascii="Times New Roman" w:hAnsi="宋体" w:eastAsia="宋体" w:cs="宋体"/>
          <w:kern w:val="0"/>
          <w:sz w:val="28"/>
          <w:szCs w:val="28"/>
        </w:rPr>
        <w:t>万元，基础养老金支出丧葬抚恤补助收入351.4</w:t>
      </w:r>
      <w:r>
        <w:rPr>
          <w:rFonts w:hint="eastAsia" w:ascii="Times New Roman" w:hAnsi="宋体" w:eastAsia="宋体" w:cs="宋体"/>
          <w:kern w:val="0"/>
          <w:sz w:val="28"/>
          <w:szCs w:val="28"/>
          <w:lang w:val="en-US" w:eastAsia="zh-CN"/>
        </w:rPr>
        <w:t>万元</w:t>
      </w:r>
      <w:r>
        <w:rPr>
          <w:rFonts w:hint="eastAsia" w:ascii="Times New Roman" w:hAnsi="宋体" w:eastAsia="宋体" w:cs="宋体"/>
          <w:kern w:val="0"/>
          <w:sz w:val="28"/>
          <w:szCs w:val="28"/>
        </w:rPr>
        <w:t>。</w:t>
      </w:r>
    </w:p>
    <w:p>
      <w:pPr>
        <w:spacing w:line="360" w:lineRule="auto"/>
        <w:ind w:firstLine="560" w:firstLineChars="200"/>
        <w:rPr>
          <w:rFonts w:hint="eastAsia" w:ascii="Times New Roman" w:hAnsi="宋体" w:eastAsia="宋体" w:cs="宋体"/>
          <w:kern w:val="0"/>
          <w:sz w:val="28"/>
          <w:szCs w:val="28"/>
        </w:rPr>
      </w:pPr>
      <w:r>
        <w:rPr>
          <w:rFonts w:hint="eastAsia" w:ascii="Times New Roman" w:hAnsi="宋体" w:eastAsia="宋体" w:cs="宋体"/>
          <w:kern w:val="0"/>
          <w:sz w:val="28"/>
          <w:szCs w:val="28"/>
        </w:rPr>
        <w:t>2022年度城乡居民基本养老保险补助支出合计7726.79万元，其中个人账户养老金支出322.44万元，丧葬抚恤补贴支出351.4万元，其他支出0.04万元，转移支出4.12万元。年末结余</w:t>
      </w:r>
      <w:r>
        <w:rPr>
          <w:rFonts w:hint="eastAsia" w:ascii="Times New Roman" w:hAnsi="宋体" w:eastAsia="宋体" w:cs="宋体"/>
          <w:kern w:val="0"/>
          <w:sz w:val="28"/>
          <w:szCs w:val="28"/>
          <w:lang w:val="en-US" w:eastAsia="zh-CN"/>
        </w:rPr>
        <w:t>34.44</w:t>
      </w:r>
      <w:r>
        <w:rPr>
          <w:rFonts w:hint="eastAsia" w:ascii="Times New Roman" w:hAnsi="宋体" w:eastAsia="宋体" w:cs="宋体"/>
          <w:kern w:val="0"/>
          <w:sz w:val="28"/>
          <w:szCs w:val="28"/>
        </w:rPr>
        <w:t>万元。2</w:t>
      </w:r>
    </w:p>
    <w:p>
      <w:pPr>
        <w:spacing w:line="360" w:lineRule="auto"/>
        <w:ind w:firstLine="560" w:firstLineChars="200"/>
        <w:rPr>
          <w:rFonts w:hint="eastAsia" w:ascii="Times New Roman" w:hAnsi="宋体" w:eastAsia="宋体" w:cs="宋体"/>
          <w:kern w:val="0"/>
          <w:sz w:val="28"/>
          <w:szCs w:val="28"/>
          <w:lang w:eastAsia="zh-CN"/>
        </w:rPr>
      </w:pPr>
      <w:r>
        <w:rPr>
          <w:rFonts w:hint="eastAsia" w:ascii="Times New Roman" w:hAnsi="宋体" w:eastAsia="宋体" w:cs="宋体"/>
          <w:kern w:val="0"/>
          <w:sz w:val="28"/>
          <w:szCs w:val="28"/>
          <w:lang w:val="en-US" w:eastAsia="zh-CN"/>
        </w:rPr>
        <w:t>2</w:t>
      </w:r>
      <w:r>
        <w:rPr>
          <w:rFonts w:hint="eastAsia" w:ascii="Times New Roman" w:hAnsi="宋体" w:eastAsia="宋体" w:cs="宋体"/>
          <w:kern w:val="0"/>
          <w:sz w:val="28"/>
          <w:szCs w:val="28"/>
        </w:rPr>
        <w:t>022年德化县该项目资金拨付如表2所示，使用支出情况如表3所示</w:t>
      </w:r>
      <w:r>
        <w:rPr>
          <w:rFonts w:hint="eastAsia" w:ascii="Times New Roman" w:hAnsi="宋体" w:eastAsia="宋体" w:cs="宋体"/>
          <w:kern w:val="0"/>
          <w:sz w:val="28"/>
          <w:szCs w:val="28"/>
          <w:lang w:eastAsia="zh-CN"/>
        </w:rPr>
        <w:t>。</w:t>
      </w:r>
    </w:p>
    <w:tbl>
      <w:tblPr>
        <w:tblStyle w:val="20"/>
        <w:tblW w:w="5129" w:type="pct"/>
        <w:jc w:val="center"/>
        <w:tblDescription w:val="{&quot;styleId&quot;:2}"/>
        <w:tblLayout w:type="fixed"/>
        <w:tblCellMar>
          <w:top w:w="0" w:type="dxa"/>
          <w:left w:w="108" w:type="dxa"/>
          <w:bottom w:w="0" w:type="dxa"/>
          <w:right w:w="108" w:type="dxa"/>
        </w:tblCellMar>
      </w:tblPr>
      <w:tblGrid>
        <w:gridCol w:w="236"/>
        <w:gridCol w:w="3838"/>
        <w:gridCol w:w="1520"/>
        <w:gridCol w:w="1002"/>
        <w:gridCol w:w="295"/>
        <w:gridCol w:w="386"/>
        <w:gridCol w:w="1465"/>
      </w:tblGrid>
      <w:tr>
        <w:tblPrEx>
          <w:tblCellMar>
            <w:top w:w="0" w:type="dxa"/>
            <w:left w:w="108" w:type="dxa"/>
            <w:bottom w:w="0" w:type="dxa"/>
            <w:right w:w="108" w:type="dxa"/>
          </w:tblCellMar>
        </w:tblPrEx>
        <w:trPr>
          <w:jc w:val="center"/>
        </w:trPr>
        <w:tc>
          <w:tcPr>
            <w:tcW w:w="5000" w:type="pct"/>
            <w:gridSpan w:val="7"/>
            <w:tcBorders>
              <w:top w:val="single" w:color="FEFEFE" w:sz="8" w:space="0"/>
              <w:left w:val="single" w:color="FEFEFE" w:sz="8" w:space="0"/>
              <w:bottom w:val="single" w:color="404040" w:sz="24" w:space="0"/>
              <w:right w:val="single" w:color="FEFEFE" w:sz="8" w:space="0"/>
            </w:tcBorders>
            <w:shd w:val="clear" w:color="auto" w:fill="FEFEFE"/>
            <w:noWrap/>
            <w:vAlign w:val="center"/>
          </w:tcPr>
          <w:p>
            <w:pPr>
              <w:pStyle w:val="2"/>
              <w:spacing w:after="0"/>
              <w:ind w:firstLine="0" w:firstLineChars="0"/>
              <w:jc w:val="center"/>
              <w:rPr>
                <w:rFonts w:hint="eastAsia" w:ascii="Times New Roman" w:hAnsi="宋体" w:eastAsia="宋体" w:cs="宋体"/>
                <w:b/>
                <w:bCs/>
                <w:sz w:val="28"/>
                <w:szCs w:val="28"/>
                <w:lang w:val="en-US" w:eastAsia="zh-CN"/>
              </w:rPr>
            </w:pPr>
            <w:r>
              <w:rPr>
                <w:rFonts w:hint="eastAsia" w:ascii="Times New Roman" w:hAnsi="宋体" w:eastAsia="宋体" w:cs="宋体"/>
                <w:b/>
                <w:bCs/>
                <w:sz w:val="28"/>
                <w:szCs w:val="28"/>
              </w:rPr>
              <w:t>表</w:t>
            </w:r>
            <w:r>
              <w:rPr>
                <w:rFonts w:hint="eastAsia" w:ascii="Times New Roman" w:hAnsi="宋体" w:eastAsia="宋体" w:cs="宋体"/>
                <w:b/>
                <w:bCs/>
                <w:sz w:val="28"/>
                <w:szCs w:val="28"/>
                <w:lang w:val="en-US" w:eastAsia="zh-CN"/>
              </w:rPr>
              <w:t>2</w:t>
            </w:r>
          </w:p>
          <w:p>
            <w:pPr>
              <w:widowControl/>
              <w:jc w:val="center"/>
              <w:textAlignment w:val="center"/>
              <w:rPr>
                <w:rFonts w:ascii="宋体" w:hAnsi="宋体" w:eastAsia="宋体" w:cs="宋体"/>
                <w:b/>
                <w:color w:val="000000"/>
                <w:sz w:val="50"/>
                <w:szCs w:val="50"/>
              </w:rPr>
            </w:pPr>
            <w:r>
              <w:rPr>
                <w:rFonts w:hint="eastAsia" w:ascii="Times New Roman" w:hAnsi="宋体" w:eastAsia="宋体" w:cs="宋体"/>
                <w:b/>
                <w:bCs/>
                <w:color w:val="000000"/>
                <w:kern w:val="0"/>
                <w:sz w:val="32"/>
                <w:szCs w:val="32"/>
              </w:rPr>
              <w:t>2022年度德化县城乡居民基本养老保险基金收入表</w:t>
            </w:r>
          </w:p>
        </w:tc>
      </w:tr>
      <w:tr>
        <w:tblPrEx>
          <w:tblCellMar>
            <w:top w:w="0" w:type="dxa"/>
            <w:left w:w="108" w:type="dxa"/>
            <w:bottom w:w="0" w:type="dxa"/>
            <w:right w:w="108" w:type="dxa"/>
          </w:tblCellMar>
        </w:tblPrEx>
        <w:trPr>
          <w:jc w:val="center"/>
        </w:trPr>
        <w:tc>
          <w:tcPr>
            <w:tcW w:w="134" w:type="pct"/>
            <w:tcBorders>
              <w:top w:val="single" w:color="404040" w:sz="24"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p>
        </w:tc>
        <w:tc>
          <w:tcPr>
            <w:tcW w:w="3064" w:type="pct"/>
            <w:gridSpan w:val="2"/>
            <w:tcBorders>
              <w:top w:val="single" w:color="404040" w:sz="24"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b/>
                <w:bCs/>
                <w:color w:val="000000"/>
                <w:sz w:val="22"/>
                <w:szCs w:val="22"/>
              </w:rPr>
              <w:t xml:space="preserve">           收   入                    金    额   </w:t>
            </w:r>
            <w:r>
              <w:rPr>
                <w:rFonts w:hint="eastAsia" w:ascii="宋体" w:hAnsi="宋体" w:eastAsia="宋体" w:cs="宋体"/>
                <w:color w:val="000000"/>
                <w:sz w:val="22"/>
                <w:szCs w:val="22"/>
              </w:rPr>
              <w:t xml:space="preserve"> </w:t>
            </w:r>
          </w:p>
        </w:tc>
        <w:tc>
          <w:tcPr>
            <w:tcW w:w="962" w:type="pct"/>
            <w:gridSpan w:val="3"/>
            <w:tcBorders>
              <w:top w:val="single" w:color="404040" w:sz="24" w:space="0"/>
              <w:left w:val="single" w:color="FEFEFE" w:sz="8" w:space="0"/>
              <w:bottom w:val="single" w:color="404040" w:sz="8" w:space="0"/>
              <w:right w:val="single" w:color="FEFEFE" w:sz="8" w:space="0"/>
            </w:tcBorders>
            <w:shd w:val="clear" w:color="auto" w:fill="FEFEFE"/>
            <w:noWrap/>
            <w:vAlign w:val="center"/>
          </w:tcPr>
          <w:p>
            <w:pPr>
              <w:widowControl/>
              <w:textAlignment w:val="center"/>
              <w:rPr>
                <w:rFonts w:ascii="宋体" w:hAnsi="宋体" w:eastAsia="宋体" w:cs="宋体"/>
                <w:color w:val="000000"/>
                <w:sz w:val="22"/>
                <w:szCs w:val="22"/>
              </w:rPr>
            </w:pPr>
          </w:p>
        </w:tc>
        <w:tc>
          <w:tcPr>
            <w:tcW w:w="837" w:type="pct"/>
            <w:tcBorders>
              <w:top w:val="single" w:color="404040" w:sz="24"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万元</w:t>
            </w:r>
          </w:p>
        </w:tc>
      </w:tr>
      <w:tr>
        <w:tblPrEx>
          <w:tblCellMar>
            <w:top w:w="0" w:type="dxa"/>
            <w:left w:w="108" w:type="dxa"/>
            <w:bottom w:w="0" w:type="dxa"/>
            <w:right w:w="108" w:type="dxa"/>
          </w:tblCellMar>
        </w:tblPrEx>
        <w:trPr>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2195"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ind w:firstLine="440" w:firstLineChars="20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（一）缴费补助收入</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453.25</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2195"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1.省级财政补助</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370</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90" w:hRule="atLeast"/>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2195"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2.市级财政补助</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31.9</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2195"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3.县级财政补助</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51.3</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2195"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（二）基础养老金补助收入</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bidi="ar"/>
              </w:rPr>
              <w:t>7266.</w:t>
            </w:r>
            <w:r>
              <w:rPr>
                <w:rFonts w:hint="eastAsia" w:ascii="宋体" w:hAnsi="宋体" w:eastAsia="宋体" w:cs="宋体"/>
                <w:color w:val="000000"/>
                <w:kern w:val="0"/>
                <w:sz w:val="22"/>
                <w:szCs w:val="22"/>
                <w:lang w:val="en-US" w:eastAsia="zh-CN" w:bidi="ar"/>
              </w:rPr>
              <w:t>54</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2195"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1.中央财政补助</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2532</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2195"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2.省级财政补助</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3357.96</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2195"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3.市级财政补助</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535.78</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2195"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4.县级财政补助</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8,40.8</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2195"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（三）丧葬抚恤补助收入</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351.4</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rPr>
            </w:pPr>
          </w:p>
        </w:tc>
        <w:tc>
          <w:tcPr>
            <w:tcW w:w="2195"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合计</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 xml:space="preserve">  8071.19</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b/>
                <w:bCs/>
                <w:color w:val="000000"/>
                <w:sz w:val="22"/>
                <w:szCs w:val="22"/>
              </w:rPr>
            </w:pP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5000" w:type="pct"/>
            <w:gridSpan w:val="7"/>
            <w:tcBorders>
              <w:top w:val="single" w:color="404040" w:sz="8" w:space="0"/>
              <w:left w:val="single" w:color="FEFEFE" w:sz="8" w:space="0"/>
              <w:bottom w:val="single" w:color="404040" w:sz="8" w:space="0"/>
              <w:right w:val="single" w:color="FEFEFE" w:sz="8" w:space="0"/>
            </w:tcBorders>
            <w:shd w:val="clear" w:color="auto" w:fill="FEFEFE"/>
            <w:noWrap/>
            <w:vAlign w:val="center"/>
          </w:tcPr>
          <w:p>
            <w:pPr>
              <w:pStyle w:val="2"/>
              <w:spacing w:after="0"/>
              <w:ind w:firstLine="0" w:firstLineChars="0"/>
              <w:jc w:val="center"/>
              <w:rPr>
                <w:rFonts w:ascii="Times New Roman" w:hAnsi="宋体" w:eastAsia="宋体" w:cs="宋体"/>
                <w:b/>
                <w:bCs/>
                <w:sz w:val="28"/>
                <w:szCs w:val="28"/>
              </w:rPr>
            </w:pPr>
            <w:bookmarkStart w:id="77" w:name="_Toc24001"/>
            <w:bookmarkStart w:id="78" w:name="_Toc14447"/>
            <w:bookmarkStart w:id="79" w:name="_Toc22946"/>
            <w:bookmarkStart w:id="80" w:name="_Toc15263"/>
            <w:r>
              <w:rPr>
                <w:rFonts w:hint="eastAsia" w:ascii="Times New Roman" w:hAnsi="宋体" w:eastAsia="宋体" w:cs="宋体"/>
                <w:b/>
                <w:bCs/>
                <w:sz w:val="28"/>
                <w:szCs w:val="28"/>
              </w:rPr>
              <w:t>表3</w:t>
            </w:r>
          </w:p>
          <w:p>
            <w:pPr>
              <w:widowControl/>
              <w:jc w:val="center"/>
              <w:textAlignment w:val="center"/>
              <w:rPr>
                <w:rFonts w:ascii="宋体" w:hAnsi="宋体" w:eastAsia="宋体" w:cs="宋体"/>
                <w:color w:val="000000"/>
                <w:sz w:val="50"/>
                <w:szCs w:val="50"/>
              </w:rPr>
            </w:pPr>
            <w:r>
              <w:rPr>
                <w:rFonts w:hint="eastAsia" w:ascii="Times New Roman" w:hAnsi="宋体" w:eastAsia="宋体" w:cs="宋体"/>
                <w:b/>
                <w:bCs/>
                <w:color w:val="000000"/>
                <w:kern w:val="0"/>
                <w:sz w:val="32"/>
                <w:szCs w:val="32"/>
              </w:rPr>
              <w:t>2022年度德化县城乡居民基本养老保险基金收支表</w:t>
            </w:r>
          </w:p>
        </w:tc>
      </w:tr>
      <w:tr>
        <w:tblPrEx>
          <w:tblCellMar>
            <w:top w:w="0" w:type="dxa"/>
            <w:left w:w="108" w:type="dxa"/>
            <w:bottom w:w="0" w:type="dxa"/>
            <w:right w:w="108" w:type="dxa"/>
          </w:tblCellMar>
        </w:tblPrEx>
        <w:trPr>
          <w:jc w:val="center"/>
        </w:trPr>
        <w:tc>
          <w:tcPr>
            <w:tcW w:w="13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064"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ind w:firstLine="883" w:firstLineChars="400"/>
              <w:jc w:val="left"/>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 xml:space="preserve">支   出   </w:t>
            </w:r>
          </w:p>
        </w:tc>
        <w:tc>
          <w:tcPr>
            <w:tcW w:w="962" w:type="pct"/>
            <w:gridSpan w:val="3"/>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金   额</w:t>
            </w: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textAlignment w:val="center"/>
              <w:rPr>
                <w:rFonts w:ascii="宋体" w:hAnsi="宋体" w:eastAsia="宋体" w:cs="宋体"/>
                <w:b/>
                <w:bCs/>
                <w:color w:val="000000"/>
                <w:sz w:val="22"/>
                <w:szCs w:val="22"/>
              </w:rPr>
            </w:pPr>
            <w:r>
              <w:rPr>
                <w:rFonts w:hint="eastAsia"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万元</w:t>
            </w:r>
          </w:p>
        </w:tc>
      </w:tr>
      <w:tr>
        <w:tblPrEx>
          <w:tblCellMar>
            <w:top w:w="0" w:type="dxa"/>
            <w:left w:w="108" w:type="dxa"/>
            <w:bottom w:w="0" w:type="dxa"/>
            <w:right w:w="108" w:type="dxa"/>
          </w:tblCellMar>
        </w:tblPrEx>
        <w:trPr>
          <w:jc w:val="center"/>
        </w:trPr>
        <w:tc>
          <w:tcPr>
            <w:tcW w:w="2330"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ind w:firstLine="440" w:firstLineChars="20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一、个人账户养老金支出</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textAlignment w:val="center"/>
              <w:rPr>
                <w:rFonts w:ascii="宋体" w:hAnsi="宋体" w:eastAsia="宋体" w:cs="宋体"/>
                <w:color w:val="000000"/>
                <w:sz w:val="22"/>
                <w:szCs w:val="22"/>
              </w:rPr>
            </w:pPr>
          </w:p>
        </w:tc>
        <w:tc>
          <w:tcPr>
            <w:tcW w:w="741"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322.44</w:t>
            </w:r>
          </w:p>
        </w:tc>
        <w:tc>
          <w:tcPr>
            <w:tcW w:w="1058"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2330"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bottom"/>
          </w:tcPr>
          <w:p>
            <w:pPr>
              <w:widowControl/>
              <w:jc w:val="center"/>
              <w:textAlignment w:val="bottom"/>
              <w:rPr>
                <w:rFonts w:ascii="宋体" w:hAnsi="宋体" w:eastAsia="宋体" w:cs="宋体"/>
                <w:color w:val="000000"/>
                <w:sz w:val="22"/>
                <w:szCs w:val="22"/>
              </w:rPr>
            </w:pPr>
            <w:r>
              <w:rPr>
                <w:rFonts w:hint="eastAsia" w:ascii="Arial" w:hAnsi="Arial" w:eastAsia="宋体" w:cs="Arial"/>
                <w:color w:val="000000"/>
                <w:kern w:val="0"/>
                <w:sz w:val="20"/>
                <w:szCs w:val="20"/>
                <w:lang w:bidi="ar"/>
              </w:rPr>
              <w:t xml:space="preserve">       1.</w:t>
            </w:r>
            <w:r>
              <w:rPr>
                <w:rFonts w:ascii="Arial" w:hAnsi="Arial" w:eastAsia="宋体" w:cs="Arial"/>
                <w:color w:val="000000"/>
                <w:kern w:val="0"/>
                <w:sz w:val="20"/>
                <w:szCs w:val="20"/>
                <w:lang w:bidi="ar"/>
              </w:rPr>
              <w:t>按月支付待遇支出</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p>
        </w:tc>
        <w:tc>
          <w:tcPr>
            <w:tcW w:w="741"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248.17</w:t>
            </w:r>
          </w:p>
        </w:tc>
        <w:tc>
          <w:tcPr>
            <w:tcW w:w="1058"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2330"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Arial" w:hAnsi="Arial" w:cs="Arial"/>
                <w:color w:val="000000"/>
                <w:sz w:val="20"/>
                <w:szCs w:val="20"/>
              </w:rPr>
            </w:pPr>
            <w:r>
              <w:rPr>
                <w:rFonts w:hint="eastAsia" w:ascii="宋体" w:hAnsi="宋体" w:eastAsia="宋体" w:cs="宋体"/>
                <w:color w:val="000000"/>
                <w:kern w:val="0"/>
                <w:sz w:val="22"/>
                <w:szCs w:val="22"/>
                <w:lang w:bidi="ar"/>
              </w:rPr>
              <w:t xml:space="preserve">  2.一次性支出</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Arial" w:hAnsi="Arial" w:cs="Arial"/>
                <w:color w:val="000000"/>
                <w:sz w:val="20"/>
                <w:szCs w:val="20"/>
              </w:rPr>
            </w:pPr>
            <w:r>
              <w:rPr>
                <w:rFonts w:ascii="Arial" w:hAnsi="Arial" w:eastAsia="宋体" w:cs="Arial"/>
                <w:color w:val="000000"/>
                <w:kern w:val="0"/>
                <w:sz w:val="20"/>
                <w:szCs w:val="20"/>
                <w:lang w:bidi="ar"/>
              </w:rPr>
              <w:t xml:space="preserve"> </w:t>
            </w:r>
          </w:p>
        </w:tc>
        <w:tc>
          <w:tcPr>
            <w:tcW w:w="741"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Arial" w:hAnsi="Arial" w:cs="Arial"/>
                <w:color w:val="000000"/>
                <w:sz w:val="20"/>
                <w:szCs w:val="20"/>
              </w:rPr>
            </w:pPr>
            <w:r>
              <w:rPr>
                <w:rFonts w:hint="eastAsia" w:ascii="宋体" w:hAnsi="宋体" w:eastAsia="宋体" w:cs="宋体"/>
                <w:color w:val="000000"/>
                <w:kern w:val="0"/>
                <w:sz w:val="22"/>
                <w:szCs w:val="22"/>
                <w:lang w:bidi="ar"/>
              </w:rPr>
              <w:t>74.265</w:t>
            </w:r>
          </w:p>
        </w:tc>
        <w:tc>
          <w:tcPr>
            <w:tcW w:w="1058"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2330"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ind w:firstLine="440" w:firstLineChars="20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二、基础养老金支出</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jc w:val="right"/>
              <w:rPr>
                <w:rFonts w:ascii="宋体" w:hAnsi="宋体" w:eastAsia="宋体" w:cs="宋体"/>
                <w:color w:val="000000"/>
                <w:sz w:val="22"/>
                <w:szCs w:val="22"/>
              </w:rPr>
            </w:pPr>
          </w:p>
        </w:tc>
        <w:tc>
          <w:tcPr>
            <w:tcW w:w="741"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7048.79</w:t>
            </w:r>
          </w:p>
        </w:tc>
        <w:tc>
          <w:tcPr>
            <w:tcW w:w="1058"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2330"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ind w:firstLine="440" w:firstLineChars="20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三、丧葬补助金支出</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p>
        </w:tc>
        <w:tc>
          <w:tcPr>
            <w:tcW w:w="741"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351.4</w:t>
            </w:r>
          </w:p>
        </w:tc>
        <w:tc>
          <w:tcPr>
            <w:tcW w:w="1058"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2330"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ind w:firstLine="440" w:firstLineChars="20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四、其他支出</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0.04</w:t>
            </w: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2330"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ind w:firstLine="440" w:firstLineChars="20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五、转移支出</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rPr>
            </w:pP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4.12</w:t>
            </w: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left"/>
              <w:textAlignment w:val="center"/>
              <w:rPr>
                <w:rFonts w:ascii="宋体" w:hAnsi="宋体" w:eastAsia="宋体" w:cs="宋体"/>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jc w:val="center"/>
        </w:trPr>
        <w:tc>
          <w:tcPr>
            <w:tcW w:w="2330"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   计</w:t>
            </w:r>
          </w:p>
        </w:tc>
        <w:tc>
          <w:tcPr>
            <w:tcW w:w="86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right"/>
              <w:textAlignment w:val="center"/>
              <w:rPr>
                <w:rFonts w:ascii="宋体" w:hAnsi="宋体" w:eastAsia="宋体" w:cs="宋体"/>
                <w:b/>
                <w:bCs/>
                <w:color w:val="000000"/>
                <w:sz w:val="22"/>
                <w:szCs w:val="22"/>
              </w:rPr>
            </w:pPr>
          </w:p>
        </w:tc>
        <w:tc>
          <w:tcPr>
            <w:tcW w:w="573"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kern w:val="0"/>
                <w:sz w:val="22"/>
                <w:szCs w:val="22"/>
                <w:lang w:bidi="ar"/>
              </w:rPr>
              <w:t>7726.</w:t>
            </w:r>
            <w:r>
              <w:rPr>
                <w:rFonts w:hint="eastAsia" w:ascii="宋体" w:hAnsi="宋体" w:eastAsia="宋体" w:cs="宋体"/>
                <w:b/>
                <w:bCs/>
                <w:color w:val="000000"/>
                <w:kern w:val="0"/>
                <w:sz w:val="22"/>
                <w:szCs w:val="22"/>
                <w:lang w:val="en-US" w:eastAsia="zh-CN" w:bidi="ar"/>
              </w:rPr>
              <w:t>79</w:t>
            </w:r>
          </w:p>
        </w:tc>
        <w:tc>
          <w:tcPr>
            <w:tcW w:w="389" w:type="pct"/>
            <w:gridSpan w:val="2"/>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jc w:val="center"/>
              <w:textAlignment w:val="center"/>
              <w:rPr>
                <w:rFonts w:ascii="宋体" w:hAnsi="宋体" w:eastAsia="宋体" w:cs="宋体"/>
                <w:b/>
                <w:bCs/>
                <w:color w:val="000000"/>
                <w:sz w:val="22"/>
                <w:szCs w:val="22"/>
              </w:rPr>
            </w:pPr>
          </w:p>
        </w:tc>
        <w:tc>
          <w:tcPr>
            <w:tcW w:w="837"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widowControl/>
              <w:textAlignment w:val="center"/>
              <w:rPr>
                <w:rFonts w:ascii="宋体" w:hAnsi="宋体" w:eastAsia="宋体" w:cs="宋体"/>
                <w:color w:val="000000"/>
                <w:sz w:val="22"/>
                <w:szCs w:val="22"/>
                <w:u w:val="single"/>
              </w:rPr>
            </w:pPr>
          </w:p>
        </w:tc>
      </w:tr>
      <w:tr>
        <w:tblPrEx>
          <w:tblCellMar>
            <w:top w:w="0" w:type="dxa"/>
            <w:left w:w="108" w:type="dxa"/>
            <w:bottom w:w="0" w:type="dxa"/>
            <w:right w:w="108" w:type="dxa"/>
          </w:tblCellMar>
        </w:tblPrEx>
        <w:trPr>
          <w:jc w:val="center"/>
        </w:trPr>
        <w:tc>
          <w:tcPr>
            <w:tcW w:w="2330" w:type="pct"/>
            <w:gridSpan w:val="2"/>
            <w:tcBorders>
              <w:top w:val="single" w:color="404040" w:sz="8" w:space="0"/>
              <w:left w:val="single" w:color="FEFEFE" w:sz="8" w:space="0"/>
              <w:bottom w:val="single" w:color="FEFEFE"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kern w:val="0"/>
                <w:sz w:val="22"/>
                <w:szCs w:val="22"/>
                <w:u w:val="single"/>
                <w:lang w:bidi="ar"/>
              </w:rPr>
            </w:pPr>
          </w:p>
        </w:tc>
        <w:tc>
          <w:tcPr>
            <w:tcW w:w="869" w:type="pct"/>
            <w:tcBorders>
              <w:top w:val="single" w:color="404040" w:sz="8" w:space="0"/>
              <w:left w:val="single" w:color="FEFEFE" w:sz="8" w:space="0"/>
              <w:bottom w:val="single" w:color="FEFEFE" w:sz="8" w:space="0"/>
              <w:right w:val="single" w:color="FEFEFE" w:sz="8" w:space="0"/>
            </w:tcBorders>
            <w:shd w:val="clear" w:color="auto" w:fill="FEFEFE"/>
            <w:noWrap/>
            <w:vAlign w:val="center"/>
          </w:tcPr>
          <w:p>
            <w:pPr>
              <w:widowControl/>
              <w:jc w:val="right"/>
              <w:textAlignment w:val="center"/>
              <w:rPr>
                <w:rFonts w:ascii="宋体" w:hAnsi="宋体" w:eastAsia="宋体" w:cs="宋体"/>
                <w:color w:val="000000"/>
                <w:sz w:val="22"/>
                <w:szCs w:val="22"/>
                <w:u w:val="single"/>
              </w:rPr>
            </w:pPr>
          </w:p>
        </w:tc>
        <w:tc>
          <w:tcPr>
            <w:tcW w:w="573" w:type="pct"/>
            <w:tcBorders>
              <w:top w:val="single" w:color="404040" w:sz="8" w:space="0"/>
              <w:left w:val="single" w:color="FEFEFE" w:sz="8" w:space="0"/>
              <w:bottom w:val="single" w:color="FEFEFE"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kern w:val="0"/>
                <w:sz w:val="22"/>
                <w:szCs w:val="22"/>
                <w:u w:val="single"/>
                <w:lang w:bidi="ar"/>
              </w:rPr>
            </w:pPr>
          </w:p>
        </w:tc>
        <w:tc>
          <w:tcPr>
            <w:tcW w:w="389" w:type="pct"/>
            <w:gridSpan w:val="2"/>
            <w:tcBorders>
              <w:top w:val="single" w:color="404040" w:sz="8" w:space="0"/>
              <w:left w:val="single" w:color="FEFEFE" w:sz="8" w:space="0"/>
              <w:bottom w:val="single" w:color="FEFEFE" w:sz="8" w:space="0"/>
              <w:right w:val="single" w:color="FEFEFE" w:sz="8" w:space="0"/>
            </w:tcBorders>
            <w:shd w:val="clear" w:color="auto" w:fill="FEFEFE"/>
            <w:noWrap/>
            <w:vAlign w:val="center"/>
          </w:tcPr>
          <w:p>
            <w:pPr>
              <w:widowControl/>
              <w:jc w:val="center"/>
              <w:textAlignment w:val="center"/>
              <w:rPr>
                <w:rFonts w:ascii="宋体" w:hAnsi="宋体" w:eastAsia="宋体" w:cs="宋体"/>
                <w:color w:val="000000"/>
                <w:sz w:val="22"/>
                <w:szCs w:val="22"/>
                <w:u w:val="single"/>
              </w:rPr>
            </w:pPr>
          </w:p>
        </w:tc>
        <w:tc>
          <w:tcPr>
            <w:tcW w:w="837" w:type="pct"/>
            <w:tcBorders>
              <w:top w:val="single" w:color="404040" w:sz="8" w:space="0"/>
              <w:left w:val="single" w:color="FEFEFE" w:sz="8" w:space="0"/>
              <w:bottom w:val="single" w:color="FEFEFE" w:sz="8" w:space="0"/>
              <w:right w:val="single" w:color="FEFEFE" w:sz="8" w:space="0"/>
            </w:tcBorders>
            <w:shd w:val="clear" w:color="auto" w:fill="FEFEFE"/>
            <w:noWrap/>
            <w:vAlign w:val="center"/>
          </w:tcPr>
          <w:p>
            <w:pPr>
              <w:widowControl/>
              <w:textAlignment w:val="center"/>
              <w:rPr>
                <w:rFonts w:ascii="宋体" w:hAnsi="宋体" w:eastAsia="宋体" w:cs="宋体"/>
                <w:color w:val="000000"/>
                <w:sz w:val="22"/>
                <w:szCs w:val="22"/>
                <w:u w:val="single"/>
              </w:rPr>
            </w:pPr>
          </w:p>
        </w:tc>
      </w:tr>
    </w:tbl>
    <w:p>
      <w:pPr>
        <w:adjustRightInd w:val="0"/>
        <w:spacing w:before="312" w:beforeLines="100" w:after="156" w:afterLines="50" w:line="360" w:lineRule="auto"/>
        <w:jc w:val="left"/>
        <w:outlineLvl w:val="0"/>
        <w:rPr>
          <w:rFonts w:ascii="Times New Roman" w:hAnsi="宋体" w:eastAsia="宋体" w:cs="宋体"/>
          <w:b/>
          <w:bCs/>
          <w:kern w:val="0"/>
          <w:sz w:val="32"/>
          <w:szCs w:val="28"/>
        </w:rPr>
      </w:pPr>
      <w:bookmarkStart w:id="81" w:name="_Toc11689"/>
      <w:r>
        <w:rPr>
          <w:rFonts w:hint="eastAsia" w:ascii="Times New Roman" w:hAnsi="宋体" w:eastAsia="宋体" w:cs="宋体"/>
          <w:b/>
          <w:bCs/>
          <w:kern w:val="0"/>
          <w:sz w:val="32"/>
          <w:szCs w:val="28"/>
        </w:rPr>
        <w:t>二、绩效评价指标体系设计</w:t>
      </w:r>
      <w:bookmarkEnd w:id="77"/>
      <w:bookmarkEnd w:id="81"/>
    </w:p>
    <w:bookmarkEnd w:id="78"/>
    <w:bookmarkEnd w:id="79"/>
    <w:bookmarkEnd w:id="80"/>
    <w:p>
      <w:pPr>
        <w:adjustRightInd w:val="0"/>
        <w:spacing w:before="156" w:beforeLines="50" w:line="360" w:lineRule="auto"/>
        <w:jc w:val="left"/>
        <w:outlineLvl w:val="1"/>
        <w:rPr>
          <w:rFonts w:ascii="Times New Roman" w:hAnsi="宋体" w:eastAsia="宋体" w:cs="宋体"/>
          <w:b/>
          <w:bCs/>
          <w:kern w:val="0"/>
          <w:sz w:val="30"/>
          <w:szCs w:val="28"/>
        </w:rPr>
      </w:pPr>
      <w:bookmarkStart w:id="82" w:name="_Toc1499"/>
      <w:bookmarkStart w:id="83" w:name="_Toc31949"/>
      <w:bookmarkStart w:id="84" w:name="_Toc23099"/>
      <w:bookmarkStart w:id="85" w:name="_Toc18597"/>
      <w:bookmarkStart w:id="86" w:name="_Toc11134"/>
      <w:r>
        <w:rPr>
          <w:rFonts w:hint="eastAsia" w:ascii="Times New Roman" w:hAnsi="宋体" w:eastAsia="宋体" w:cs="宋体"/>
          <w:b/>
          <w:bCs/>
          <w:kern w:val="0"/>
          <w:sz w:val="30"/>
          <w:szCs w:val="28"/>
        </w:rPr>
        <w:t>（一）绩效评价依据</w:t>
      </w:r>
      <w:bookmarkEnd w:id="82"/>
      <w:bookmarkEnd w:id="83"/>
      <w:bookmarkEnd w:id="84"/>
      <w:bookmarkEnd w:id="85"/>
      <w:bookmarkEnd w:id="86"/>
    </w:p>
    <w:p>
      <w:pPr>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1.《中共中央国务院关于全面实施预算绩效管理的意见》</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中发〔2018〕34号</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w:t>
      </w:r>
    </w:p>
    <w:p>
      <w:pPr>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2.财政部《关于印发</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项目支出绩效评价管理办法</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的通知》</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财预〔2022〕10号</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w:t>
      </w:r>
    </w:p>
    <w:p>
      <w:pPr>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3.《福建省财政厅关于印发财政支出绩效评价指标体系及使用指南的通知》</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闽财绩〔2012〕13号</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 xml:space="preserve">；      </w:t>
      </w:r>
    </w:p>
    <w:p>
      <w:pPr>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4.《福建省财政厅关于印发</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福建省财政支出绩效评价管理暂行办法</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的通知》（闽财绩〔2015〕4号</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w:t>
      </w:r>
    </w:p>
    <w:p>
      <w:pPr>
        <w:pStyle w:val="3"/>
        <w:spacing w:after="0"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5.《国务院关于建立统一的城乡居民基本养老保险制度的意见》（国发〔2014〕8号）；</w:t>
      </w:r>
    </w:p>
    <w:p>
      <w:pPr>
        <w:pStyle w:val="3"/>
        <w:spacing w:after="0"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6.《福建省人民政府关于完善城乡居民基本养老保险制度的实施意见》（闽政〔2014〕49号）；</w:t>
      </w:r>
    </w:p>
    <w:p>
      <w:pPr>
        <w:pStyle w:val="13"/>
        <w:snapToGrid/>
        <w:spacing w:line="360" w:lineRule="auto"/>
        <w:ind w:firstLine="560" w:firstLineChars="200"/>
        <w:outlineLvl w:val="2"/>
        <w:rPr>
          <w:rFonts w:ascii="Times New Roman" w:eastAsia="宋体"/>
          <w:sz w:val="28"/>
        </w:rPr>
      </w:pPr>
      <w:bookmarkStart w:id="87" w:name="_Toc7784"/>
      <w:bookmarkStart w:id="88" w:name="_Toc32402"/>
      <w:r>
        <w:rPr>
          <w:rFonts w:hint="eastAsia" w:ascii="Times New Roman" w:hAnsi="宋体" w:eastAsia="宋体" w:cs="宋体"/>
          <w:kern w:val="0"/>
          <w:sz w:val="28"/>
          <w:szCs w:val="28"/>
        </w:rPr>
        <w:t>7.</w:t>
      </w:r>
      <w:r>
        <w:rPr>
          <w:rFonts w:hint="eastAsia" w:ascii="Times New Roman" w:eastAsia="宋体"/>
          <w:sz w:val="28"/>
        </w:rPr>
        <w:t>《社会保险基金财务制度》（财社</w:t>
      </w:r>
      <w:r>
        <w:rPr>
          <w:rFonts w:hint="eastAsia" w:ascii="Times New Roman" w:hAnsi="宋体" w:eastAsia="宋体" w:cs="宋体"/>
          <w:kern w:val="0"/>
          <w:sz w:val="28"/>
          <w:szCs w:val="28"/>
        </w:rPr>
        <w:t>〔</w:t>
      </w:r>
      <w:r>
        <w:rPr>
          <w:rFonts w:hint="eastAsia" w:ascii="Times New Roman" w:eastAsia="宋体"/>
          <w:sz w:val="28"/>
        </w:rPr>
        <w:t>2017</w:t>
      </w:r>
      <w:r>
        <w:rPr>
          <w:rFonts w:hint="eastAsia" w:ascii="Times New Roman" w:hAnsi="宋体" w:eastAsia="宋体" w:cs="宋体"/>
          <w:kern w:val="0"/>
          <w:sz w:val="28"/>
          <w:szCs w:val="28"/>
        </w:rPr>
        <w:t>〕</w:t>
      </w:r>
      <w:r>
        <w:rPr>
          <w:rFonts w:hint="eastAsia" w:ascii="Times New Roman" w:eastAsia="宋体"/>
          <w:sz w:val="28"/>
        </w:rPr>
        <w:t>144号）。</w:t>
      </w:r>
      <w:bookmarkEnd w:id="87"/>
      <w:bookmarkEnd w:id="88"/>
    </w:p>
    <w:p>
      <w:pPr>
        <w:adjustRightInd w:val="0"/>
        <w:spacing w:before="156" w:beforeLines="50" w:line="360" w:lineRule="auto"/>
        <w:jc w:val="left"/>
        <w:outlineLvl w:val="1"/>
        <w:rPr>
          <w:rFonts w:ascii="Times New Roman" w:hAnsi="宋体" w:eastAsia="宋体" w:cs="宋体"/>
          <w:b/>
          <w:bCs/>
          <w:kern w:val="0"/>
          <w:sz w:val="30"/>
          <w:szCs w:val="28"/>
        </w:rPr>
      </w:pPr>
      <w:bookmarkStart w:id="89" w:name="_Toc26770"/>
      <w:bookmarkStart w:id="90" w:name="_Toc6076"/>
      <w:bookmarkStart w:id="91" w:name="_Toc20960"/>
      <w:bookmarkStart w:id="92" w:name="_Toc9674"/>
      <w:bookmarkStart w:id="93" w:name="_Toc26058"/>
      <w:r>
        <w:rPr>
          <w:rFonts w:hint="eastAsia" w:ascii="Times New Roman" w:hAnsi="宋体" w:eastAsia="宋体" w:cs="宋体"/>
          <w:b/>
          <w:bCs/>
          <w:kern w:val="0"/>
          <w:sz w:val="30"/>
          <w:szCs w:val="28"/>
        </w:rPr>
        <w:t>（二）绩效评价原则</w:t>
      </w:r>
      <w:bookmarkEnd w:id="89"/>
      <w:bookmarkEnd w:id="90"/>
      <w:bookmarkEnd w:id="91"/>
      <w:bookmarkEnd w:id="92"/>
      <w:bookmarkEnd w:id="93"/>
    </w:p>
    <w:p>
      <w:pPr>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1.相关性原则。确定的绩效评价指标应当与绩效目标有直接的联系，能够恰当反映目标的实现程度，而与绩效目标无关的指标不应列入评价体系。</w:t>
      </w:r>
    </w:p>
    <w:p>
      <w:pPr>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2.重要性原则。应当优先使用最具评价对象代表性、最能反映评价要求的核心指标，而对于那些无足轻重、可有可无的指标应该舍弃，否则，可能造成评价体系过于庞杂，可操作性不强，且不能突出反映问题。</w:t>
      </w:r>
    </w:p>
    <w:p>
      <w:pPr>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3.可比性原则。对同类评价对象要设定共性的绩效评价指标，以便于评价结果可以相互比较。如，项目立项、资金落实、项目管理、财务管理等就属于共性指标。</w:t>
      </w:r>
    </w:p>
    <w:p>
      <w:pPr>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4.经济性原则。绩效评价指标不是设计得越复杂越好，应当通俗易懂、简便易行，数据的获得应当考虑现实条件和可操作性，符合成本效益原则。</w:t>
      </w:r>
    </w:p>
    <w:p>
      <w:pPr>
        <w:adjustRightInd w:val="0"/>
        <w:spacing w:before="156" w:beforeLines="50" w:line="360" w:lineRule="auto"/>
        <w:jc w:val="left"/>
        <w:outlineLvl w:val="1"/>
        <w:rPr>
          <w:rFonts w:ascii="Times New Roman" w:hAnsi="宋体" w:eastAsia="宋体" w:cs="宋体"/>
          <w:b/>
          <w:bCs/>
          <w:kern w:val="0"/>
          <w:sz w:val="30"/>
          <w:szCs w:val="28"/>
        </w:rPr>
      </w:pPr>
      <w:bookmarkStart w:id="94" w:name="_Toc21474"/>
      <w:bookmarkStart w:id="95" w:name="_Toc11817"/>
      <w:bookmarkStart w:id="96" w:name="_Toc16185"/>
      <w:bookmarkStart w:id="97" w:name="_Toc18303"/>
      <w:bookmarkStart w:id="98" w:name="_Toc30497"/>
      <w:r>
        <w:rPr>
          <w:rFonts w:hint="eastAsia" w:ascii="Times New Roman" w:hAnsi="宋体" w:eastAsia="宋体" w:cs="宋体"/>
          <w:b/>
          <w:bCs/>
          <w:kern w:val="0"/>
          <w:sz w:val="30"/>
          <w:szCs w:val="28"/>
        </w:rPr>
        <w:t>（三）绩效评价方法</w:t>
      </w:r>
      <w:bookmarkEnd w:id="94"/>
      <w:bookmarkEnd w:id="95"/>
      <w:bookmarkEnd w:id="96"/>
      <w:bookmarkEnd w:id="97"/>
      <w:bookmarkEnd w:id="98"/>
      <w:bookmarkStart w:id="99" w:name="_Toc117170548"/>
    </w:p>
    <w:p>
      <w:pPr>
        <w:pStyle w:val="12"/>
        <w:spacing w:line="360" w:lineRule="auto"/>
        <w:ind w:firstLine="560" w:firstLineChars="200"/>
        <w:outlineLvl w:val="1"/>
        <w:rPr>
          <w:rFonts w:ascii="Times New Roman" w:hAnsi="宋体" w:eastAsia="宋体" w:cs="宋体"/>
          <w:kern w:val="0"/>
          <w:sz w:val="28"/>
          <w:szCs w:val="28"/>
        </w:rPr>
      </w:pPr>
      <w:bookmarkStart w:id="100" w:name="_Toc17003"/>
      <w:bookmarkStart w:id="101" w:name="_Toc17411"/>
      <w:bookmarkStart w:id="102" w:name="_Toc11312"/>
      <w:bookmarkStart w:id="103" w:name="_Toc15388"/>
      <w:bookmarkStart w:id="104" w:name="_Toc5859"/>
      <w:bookmarkStart w:id="105" w:name="_Toc8030"/>
      <w:bookmarkStart w:id="106" w:name="_Toc7629"/>
      <w:bookmarkStart w:id="107" w:name="_Toc24576"/>
      <w:r>
        <w:rPr>
          <w:rFonts w:hint="eastAsia" w:ascii="Times New Roman" w:hAnsi="宋体" w:eastAsia="宋体" w:cs="宋体"/>
          <w:kern w:val="0"/>
          <w:sz w:val="28"/>
          <w:szCs w:val="28"/>
        </w:rPr>
        <w:t>根据《财政支出绩效评价管理暂行办法》（财预〔2011〕第285号），绩效评价指标确定应当遵循以下绩效评价方法：</w:t>
      </w:r>
      <w:bookmarkEnd w:id="100"/>
      <w:bookmarkEnd w:id="101"/>
      <w:bookmarkEnd w:id="102"/>
      <w:bookmarkEnd w:id="103"/>
      <w:bookmarkEnd w:id="104"/>
    </w:p>
    <w:p>
      <w:pPr>
        <w:pStyle w:val="12"/>
        <w:spacing w:line="360" w:lineRule="auto"/>
        <w:ind w:firstLine="560" w:firstLineChars="200"/>
        <w:outlineLvl w:val="1"/>
        <w:rPr>
          <w:rFonts w:hint="default" w:ascii="Times New Roman" w:hAnsi="宋体" w:eastAsia="宋体" w:cs="宋体"/>
          <w:kern w:val="0"/>
          <w:sz w:val="28"/>
          <w:szCs w:val="28"/>
          <w:lang w:val="en-US" w:eastAsia="zh-CN"/>
        </w:rPr>
      </w:pPr>
      <w:bookmarkStart w:id="108" w:name="_Toc17298"/>
      <w:bookmarkStart w:id="109" w:name="_Toc27888"/>
      <w:bookmarkStart w:id="110" w:name="_Toc27765"/>
      <w:bookmarkStart w:id="111" w:name="_Toc26954"/>
      <w:bookmarkStart w:id="112" w:name="_Toc8722"/>
      <w:r>
        <w:rPr>
          <w:rFonts w:hint="eastAsia" w:ascii="Times New Roman" w:hAnsi="宋体" w:eastAsia="宋体" w:cs="宋体"/>
          <w:kern w:val="0"/>
          <w:sz w:val="28"/>
          <w:szCs w:val="28"/>
        </w:rPr>
        <w:t>1.比较法。是指通过实际支出、实施效果等与绩效目标、历史情况、不同地区同类支出等的比较，综合分析绩效目标实现程度</w:t>
      </w:r>
      <w:bookmarkEnd w:id="108"/>
      <w:bookmarkEnd w:id="109"/>
      <w:bookmarkEnd w:id="110"/>
      <w:bookmarkEnd w:id="111"/>
      <w:bookmarkEnd w:id="112"/>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lang w:val="en-US" w:eastAsia="zh-CN"/>
        </w:rPr>
        <w:t xml:space="preserve"> </w:t>
      </w:r>
    </w:p>
    <w:p>
      <w:pPr>
        <w:pStyle w:val="12"/>
        <w:spacing w:line="360" w:lineRule="auto"/>
        <w:ind w:firstLine="560" w:firstLineChars="200"/>
        <w:outlineLvl w:val="1"/>
        <w:rPr>
          <w:rFonts w:hint="eastAsia" w:ascii="Times New Roman" w:hAnsi="宋体" w:eastAsia="宋体" w:cs="宋体"/>
          <w:kern w:val="0"/>
          <w:sz w:val="28"/>
          <w:szCs w:val="28"/>
          <w:lang w:val="en-US" w:eastAsia="zh-CN"/>
        </w:rPr>
      </w:pPr>
      <w:bookmarkStart w:id="113" w:name="_Toc7684"/>
      <w:bookmarkStart w:id="114" w:name="_Toc29122"/>
      <w:bookmarkStart w:id="115" w:name="_Toc25543"/>
      <w:bookmarkStart w:id="116" w:name="_Toc30853"/>
      <w:bookmarkStart w:id="117" w:name="_Toc31760"/>
      <w:r>
        <w:rPr>
          <w:rFonts w:hint="eastAsia" w:ascii="Times New Roman" w:hAnsi="宋体" w:eastAsia="宋体" w:cs="宋体"/>
          <w:kern w:val="0"/>
          <w:sz w:val="28"/>
          <w:szCs w:val="28"/>
        </w:rPr>
        <w:t>2.成本效益分析法。是指将一定时期内的支出与效益进行对比分析，以评价绩效目标实现程度</w:t>
      </w:r>
      <w:bookmarkEnd w:id="113"/>
      <w:bookmarkEnd w:id="114"/>
      <w:bookmarkEnd w:id="115"/>
      <w:bookmarkEnd w:id="116"/>
      <w:bookmarkEnd w:id="117"/>
      <w:r>
        <w:rPr>
          <w:rFonts w:hint="eastAsia" w:ascii="Times New Roman" w:hAnsi="宋体" w:eastAsia="宋体" w:cs="宋体"/>
          <w:kern w:val="0"/>
          <w:sz w:val="28"/>
          <w:szCs w:val="28"/>
          <w:lang w:eastAsia="zh-CN"/>
        </w:rPr>
        <w:t>；</w:t>
      </w:r>
    </w:p>
    <w:p>
      <w:pPr>
        <w:pStyle w:val="12"/>
        <w:spacing w:line="360" w:lineRule="auto"/>
        <w:ind w:firstLine="560" w:firstLineChars="200"/>
        <w:outlineLvl w:val="1"/>
        <w:rPr>
          <w:rFonts w:ascii="Times New Roman" w:hAnsi="宋体" w:eastAsia="宋体" w:cs="宋体"/>
          <w:kern w:val="0"/>
          <w:sz w:val="28"/>
          <w:szCs w:val="28"/>
        </w:rPr>
      </w:pPr>
      <w:bookmarkStart w:id="118" w:name="_Toc26046"/>
      <w:bookmarkStart w:id="119" w:name="_Toc8851"/>
      <w:bookmarkStart w:id="120" w:name="_Toc30633"/>
      <w:bookmarkStart w:id="121" w:name="_Toc12399"/>
      <w:bookmarkStart w:id="122" w:name="_Toc19932"/>
      <w:r>
        <w:rPr>
          <w:rFonts w:hint="eastAsia" w:ascii="Times New Roman" w:hAnsi="宋体" w:eastAsia="宋体" w:cs="宋体"/>
          <w:kern w:val="0"/>
          <w:sz w:val="28"/>
          <w:szCs w:val="28"/>
        </w:rPr>
        <w:t>3.服务对象评判法。是指通过对服务对象进行问卷及抽样调查等对财政支出的效果进行评判，评价绩效目标实现程度。</w:t>
      </w:r>
      <w:bookmarkEnd w:id="118"/>
      <w:bookmarkEnd w:id="119"/>
      <w:bookmarkEnd w:id="120"/>
      <w:bookmarkEnd w:id="121"/>
      <w:bookmarkEnd w:id="122"/>
    </w:p>
    <w:p>
      <w:pPr>
        <w:adjustRightInd w:val="0"/>
        <w:spacing w:before="156" w:beforeLines="50" w:line="360" w:lineRule="auto"/>
        <w:jc w:val="left"/>
        <w:outlineLvl w:val="1"/>
        <w:rPr>
          <w:rFonts w:ascii="Times New Roman" w:hAnsi="宋体" w:eastAsia="宋体" w:cs="宋体"/>
          <w:b/>
          <w:bCs/>
          <w:kern w:val="0"/>
          <w:sz w:val="30"/>
          <w:szCs w:val="28"/>
        </w:rPr>
      </w:pPr>
      <w:bookmarkStart w:id="123" w:name="_Toc7863"/>
      <w:bookmarkStart w:id="124" w:name="_Toc23038"/>
      <w:r>
        <w:rPr>
          <w:rFonts w:hint="eastAsia" w:ascii="Times New Roman" w:hAnsi="宋体" w:eastAsia="宋体" w:cs="宋体"/>
          <w:b/>
          <w:bCs/>
          <w:kern w:val="0"/>
          <w:sz w:val="30"/>
          <w:szCs w:val="28"/>
        </w:rPr>
        <w:t>（四）绩效评价过程</w:t>
      </w:r>
      <w:bookmarkEnd w:id="105"/>
      <w:bookmarkEnd w:id="106"/>
      <w:bookmarkEnd w:id="107"/>
      <w:bookmarkEnd w:id="123"/>
      <w:bookmarkEnd w:id="124"/>
    </w:p>
    <w:p>
      <w:pPr>
        <w:pStyle w:val="12"/>
        <w:spacing w:line="360" w:lineRule="auto"/>
        <w:ind w:firstLine="560" w:firstLineChars="200"/>
        <w:outlineLvl w:val="1"/>
        <w:rPr>
          <w:rFonts w:ascii="Times New Roman" w:hAnsi="宋体" w:eastAsia="宋体" w:cs="宋体"/>
          <w:kern w:val="0"/>
          <w:sz w:val="28"/>
          <w:szCs w:val="28"/>
        </w:rPr>
      </w:pPr>
      <w:bookmarkStart w:id="125" w:name="_Toc14999"/>
      <w:bookmarkStart w:id="126" w:name="_Toc14169"/>
      <w:bookmarkStart w:id="127" w:name="_Toc29780"/>
      <w:bookmarkStart w:id="128" w:name="_Toc6986"/>
      <w:bookmarkStart w:id="129" w:name="_Toc32655"/>
      <w:bookmarkStart w:id="130" w:name="_Toc7703"/>
      <w:bookmarkStart w:id="131" w:name="_Toc28971"/>
      <w:bookmarkStart w:id="132" w:name="_Toc25861"/>
      <w:bookmarkStart w:id="133" w:name="_Toc8980"/>
      <w:bookmarkStart w:id="134" w:name="_Toc29270"/>
      <w:bookmarkStart w:id="135" w:name="_Toc2425"/>
      <w:bookmarkStart w:id="136" w:name="_Toc5778"/>
      <w:r>
        <w:rPr>
          <w:rFonts w:hint="eastAsia" w:ascii="Times New Roman" w:hAnsi="宋体" w:eastAsia="宋体" w:cs="宋体"/>
          <w:kern w:val="0"/>
          <w:sz w:val="28"/>
          <w:szCs w:val="28"/>
        </w:rPr>
        <w:t>根据《关于开展2023年度预算绩效管理工作的通知》的要求，受德化县财政局委托，评价组进行现场评价工作，主要采取以下方式：</w:t>
      </w:r>
      <w:bookmarkEnd w:id="99"/>
      <w:bookmarkEnd w:id="125"/>
      <w:bookmarkEnd w:id="126"/>
      <w:bookmarkEnd w:id="127"/>
      <w:bookmarkEnd w:id="128"/>
      <w:bookmarkEnd w:id="129"/>
      <w:bookmarkEnd w:id="130"/>
      <w:bookmarkEnd w:id="131"/>
      <w:bookmarkEnd w:id="132"/>
      <w:bookmarkEnd w:id="133"/>
      <w:bookmarkEnd w:id="134"/>
      <w:bookmarkEnd w:id="135"/>
      <w:bookmarkEnd w:id="136"/>
    </w:p>
    <w:p>
      <w:pPr>
        <w:pStyle w:val="12"/>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1.调研方案设计，成立绩效评价小组，对绩效评价工作调研，与项目实施单位德化县人社局负责人进行沟通、询问，听取有关资金使用管理及项目组织实施管理等情况介绍。了解资金使用取得的成效、存在的主要问题及建议等</w:t>
      </w:r>
      <w:r>
        <w:rPr>
          <w:rFonts w:hint="eastAsia" w:ascii="Times New Roman" w:hAnsi="宋体" w:eastAsia="宋体" w:cs="宋体"/>
          <w:kern w:val="0"/>
          <w:sz w:val="28"/>
          <w:szCs w:val="28"/>
          <w:lang w:eastAsia="zh-CN"/>
        </w:rPr>
        <w:t>，</w:t>
      </w:r>
      <w:r>
        <w:rPr>
          <w:rFonts w:hint="eastAsia" w:ascii="Times New Roman" w:hAnsi="宋体" w:eastAsia="宋体" w:cs="宋体"/>
          <w:kern w:val="0"/>
          <w:sz w:val="28"/>
          <w:szCs w:val="28"/>
        </w:rPr>
        <w:t>进行方案设计；</w:t>
      </w:r>
    </w:p>
    <w:p>
      <w:pPr>
        <w:pStyle w:val="12"/>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2.绩效材料收集，评价工作小组对德化县人社局城乡居民养老保险补助相关政策文件和制度等资料进行收集，并核实项目申报资金拨付、管理及验收情况，绩效目标实现程度等；</w:t>
      </w:r>
    </w:p>
    <w:p>
      <w:pPr>
        <w:pStyle w:val="12"/>
        <w:spacing w:line="360" w:lineRule="auto"/>
        <w:ind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3.指标体系手稿设计阶段，评价工作小组通过对相关业务部门采集回来的项目资料，进行整理，提取绩效指标、确定指标标准、指标解释、评分标准及评分规则，设计绩效指标体系初始手稿；</w:t>
      </w:r>
    </w:p>
    <w:p>
      <w:pPr>
        <w:spacing w:line="360" w:lineRule="auto"/>
        <w:ind w:firstLine="560" w:firstLineChars="200"/>
        <w:outlineLvl w:val="2"/>
        <w:rPr>
          <w:rFonts w:ascii="Times New Roman" w:eastAsia="宋体"/>
          <w:sz w:val="28"/>
          <w:szCs w:val="28"/>
        </w:rPr>
      </w:pPr>
      <w:bookmarkStart w:id="137" w:name="_Toc3499"/>
      <w:bookmarkStart w:id="138" w:name="_Toc31475"/>
      <w:r>
        <w:rPr>
          <w:rFonts w:hint="eastAsia" w:ascii="Times New Roman" w:hAnsi="宋体" w:eastAsia="宋体" w:cs="宋体"/>
          <w:kern w:val="0"/>
          <w:sz w:val="28"/>
          <w:szCs w:val="28"/>
        </w:rPr>
        <w:t>4.实地走访。评价组对主管单位德化县人社局进行实地调研；</w:t>
      </w:r>
      <w:bookmarkEnd w:id="137"/>
      <w:bookmarkEnd w:id="138"/>
    </w:p>
    <w:p>
      <w:pPr>
        <w:spacing w:line="360" w:lineRule="auto"/>
        <w:ind w:right="28"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5.绩效指标体系初稿阶段，拟写指标体系，完成指标体系初稿设计；</w:t>
      </w:r>
    </w:p>
    <w:p>
      <w:pPr>
        <w:spacing w:line="360" w:lineRule="auto"/>
        <w:ind w:right="35" w:firstLine="560" w:firstLineChars="200"/>
        <w:rPr>
          <w:rFonts w:ascii="Times New Roman" w:hAnsi="宋体" w:eastAsia="宋体" w:cs="宋体"/>
          <w:kern w:val="0"/>
          <w:sz w:val="28"/>
          <w:szCs w:val="28"/>
        </w:rPr>
      </w:pPr>
      <w:r>
        <w:rPr>
          <w:rFonts w:hint="eastAsia" w:ascii="Times New Roman" w:hAnsi="宋体" w:eastAsia="宋体" w:cs="宋体"/>
          <w:kern w:val="0"/>
          <w:sz w:val="28"/>
          <w:szCs w:val="28"/>
        </w:rPr>
        <w:t>6.部门反馈意见阶段，征求德化县人社局和</w:t>
      </w:r>
      <w:r>
        <w:rPr>
          <w:rFonts w:hint="eastAsia" w:ascii="Times New Roman" w:eastAsia="宋体"/>
          <w:sz w:val="28"/>
        </w:rPr>
        <w:t>德化县财政局</w:t>
      </w:r>
      <w:r>
        <w:rPr>
          <w:rFonts w:hint="eastAsia" w:ascii="Times New Roman" w:hAnsi="宋体" w:eastAsia="宋体" w:cs="宋体"/>
          <w:kern w:val="0"/>
          <w:sz w:val="28"/>
          <w:szCs w:val="28"/>
        </w:rPr>
        <w:t>意见，并向预算单位下发补充资料清单；</w:t>
      </w:r>
    </w:p>
    <w:p>
      <w:pPr>
        <w:spacing w:line="360" w:lineRule="auto"/>
        <w:ind w:right="53" w:firstLine="560" w:firstLineChars="200"/>
        <w:outlineLvl w:val="2"/>
        <w:rPr>
          <w:rFonts w:ascii="Times New Roman" w:hAnsi="宋体" w:eastAsia="宋体" w:cs="宋体"/>
          <w:kern w:val="0"/>
          <w:sz w:val="28"/>
          <w:szCs w:val="28"/>
        </w:rPr>
      </w:pPr>
      <w:bookmarkStart w:id="139" w:name="_Toc21493"/>
      <w:bookmarkStart w:id="140" w:name="_Toc27030"/>
      <w:r>
        <w:rPr>
          <w:rFonts w:hint="eastAsia" w:ascii="Times New Roman" w:hAnsi="宋体" w:eastAsia="宋体" w:cs="宋体"/>
          <w:kern w:val="0"/>
          <w:sz w:val="28"/>
          <w:szCs w:val="28"/>
        </w:rPr>
        <w:t>7.提交绩效评价报告，完成专项资金绩效评价报告，装订成册。</w:t>
      </w:r>
      <w:bookmarkEnd w:id="139"/>
      <w:bookmarkEnd w:id="140"/>
    </w:p>
    <w:p>
      <w:pPr>
        <w:adjustRightInd w:val="0"/>
        <w:spacing w:before="312" w:beforeLines="100" w:after="156" w:afterLines="50" w:line="360" w:lineRule="auto"/>
        <w:jc w:val="left"/>
        <w:outlineLvl w:val="0"/>
        <w:rPr>
          <w:rFonts w:ascii="Times New Roman" w:hAnsi="宋体" w:eastAsia="宋体" w:cs="宋体"/>
          <w:b/>
          <w:bCs/>
          <w:kern w:val="0"/>
          <w:sz w:val="32"/>
          <w:szCs w:val="28"/>
        </w:rPr>
      </w:pPr>
      <w:bookmarkStart w:id="141" w:name="_Toc31125"/>
      <w:bookmarkStart w:id="142" w:name="_Toc3161"/>
      <w:bookmarkStart w:id="143" w:name="_Toc16351"/>
      <w:bookmarkStart w:id="144" w:name="_Toc19450"/>
      <w:bookmarkStart w:id="145" w:name="_Toc6261"/>
      <w:bookmarkStart w:id="146" w:name="_Toc5928"/>
      <w:bookmarkStart w:id="147" w:name="_Toc20597"/>
      <w:bookmarkStart w:id="148" w:name="_Toc117170528"/>
      <w:r>
        <w:rPr>
          <w:rFonts w:hint="eastAsia" w:ascii="Times New Roman" w:hAnsi="宋体" w:eastAsia="宋体" w:cs="宋体"/>
          <w:b/>
          <w:bCs/>
          <w:kern w:val="0"/>
          <w:sz w:val="32"/>
          <w:szCs w:val="28"/>
        </w:rPr>
        <w:t>三、绩效评价体系和评价标准</w:t>
      </w:r>
      <w:bookmarkEnd w:id="141"/>
      <w:bookmarkEnd w:id="142"/>
      <w:bookmarkEnd w:id="143"/>
      <w:bookmarkEnd w:id="144"/>
    </w:p>
    <w:p>
      <w:pPr>
        <w:adjustRightInd w:val="0"/>
        <w:spacing w:line="360" w:lineRule="auto"/>
        <w:ind w:firstLine="560" w:firstLineChars="200"/>
        <w:rPr>
          <w:rFonts w:ascii="Times New Roman" w:eastAsia="宋体"/>
          <w:sz w:val="28"/>
        </w:rPr>
      </w:pPr>
      <w:r>
        <w:rPr>
          <w:rFonts w:hint="eastAsia" w:ascii="Times New Roman" w:hAnsi="宋体" w:eastAsia="宋体" w:cs="宋体"/>
          <w:kern w:val="0"/>
          <w:sz w:val="28"/>
          <w:szCs w:val="28"/>
        </w:rPr>
        <w:t>绩效评价指标体系共设置4个一级指标、1</w:t>
      </w:r>
      <w:r>
        <w:rPr>
          <w:rFonts w:hint="eastAsia" w:ascii="Times New Roman" w:hAnsi="宋体" w:eastAsia="宋体" w:cs="宋体"/>
          <w:kern w:val="0"/>
          <w:sz w:val="28"/>
          <w:szCs w:val="28"/>
          <w:lang w:val="en-US" w:eastAsia="zh-CN"/>
        </w:rPr>
        <w:t>4</w:t>
      </w:r>
      <w:r>
        <w:rPr>
          <w:rFonts w:hint="eastAsia" w:ascii="Times New Roman" w:hAnsi="宋体" w:eastAsia="宋体" w:cs="宋体"/>
          <w:kern w:val="0"/>
          <w:sz w:val="28"/>
          <w:szCs w:val="28"/>
        </w:rPr>
        <w:t>个二级指标和2</w:t>
      </w:r>
      <w:r>
        <w:rPr>
          <w:rFonts w:hint="eastAsia" w:ascii="Times New Roman" w:hAnsi="宋体" w:eastAsia="宋体" w:cs="宋体"/>
          <w:kern w:val="0"/>
          <w:sz w:val="28"/>
          <w:szCs w:val="28"/>
          <w:lang w:val="en-US" w:eastAsia="zh-CN"/>
        </w:rPr>
        <w:t>8</w:t>
      </w:r>
      <w:r>
        <w:rPr>
          <w:rFonts w:hint="eastAsia" w:ascii="Times New Roman" w:hAnsi="宋体" w:eastAsia="宋体" w:cs="宋体"/>
          <w:kern w:val="0"/>
          <w:sz w:val="28"/>
          <w:szCs w:val="28"/>
        </w:rPr>
        <w:t>个三级指标。一级指标为投入、过程、产出和效益。其中：“投入”20分，主要体现项目立项、绩效目标和资金投入情况；“过程”20分，主要体现</w:t>
      </w:r>
      <w:r>
        <w:rPr>
          <w:rFonts w:hint="eastAsia" w:ascii="Times New Roman" w:hAnsi="宋体" w:eastAsia="宋体" w:cs="宋体"/>
          <w:kern w:val="0"/>
          <w:sz w:val="28"/>
          <w:szCs w:val="28"/>
          <w:lang w:eastAsia="zh-CN"/>
        </w:rPr>
        <w:t>财务</w:t>
      </w:r>
      <w:r>
        <w:rPr>
          <w:rFonts w:hint="eastAsia" w:ascii="Times New Roman" w:hAnsi="宋体" w:eastAsia="宋体" w:cs="宋体"/>
          <w:kern w:val="0"/>
          <w:sz w:val="28"/>
          <w:szCs w:val="28"/>
        </w:rPr>
        <w:t>管理和资金管理和组织实施情况；“产出”3</w:t>
      </w:r>
      <w:r>
        <w:rPr>
          <w:rFonts w:hint="eastAsia" w:ascii="Times New Roman" w:hAnsi="宋体" w:eastAsia="宋体" w:cs="宋体"/>
          <w:kern w:val="0"/>
          <w:sz w:val="28"/>
          <w:szCs w:val="28"/>
          <w:lang w:val="en-US" w:eastAsia="zh-CN"/>
        </w:rPr>
        <w:t>0</w:t>
      </w:r>
      <w:r>
        <w:rPr>
          <w:rFonts w:hint="eastAsia" w:ascii="Times New Roman" w:hAnsi="宋体" w:eastAsia="宋体" w:cs="宋体"/>
          <w:kern w:val="0"/>
          <w:sz w:val="28"/>
          <w:szCs w:val="28"/>
        </w:rPr>
        <w:t>分，主要体现产出数量、产出质量、产出时效、产出成本情况；“效益”</w:t>
      </w:r>
      <w:r>
        <w:rPr>
          <w:rFonts w:hint="eastAsia" w:ascii="Times New Roman" w:hAnsi="宋体" w:eastAsia="宋体" w:cs="宋体"/>
          <w:kern w:val="0"/>
          <w:sz w:val="28"/>
          <w:szCs w:val="28"/>
          <w:lang w:val="en-US" w:eastAsia="zh-CN"/>
        </w:rPr>
        <w:t>30</w:t>
      </w:r>
      <w:r>
        <w:rPr>
          <w:rFonts w:hint="eastAsia" w:ascii="Times New Roman" w:hAnsi="宋体" w:eastAsia="宋体" w:cs="宋体"/>
          <w:kern w:val="0"/>
          <w:sz w:val="28"/>
          <w:szCs w:val="28"/>
        </w:rPr>
        <w:t>分，主要体现实施后的经济效益、社会效益、可持续效益，满意度。指标体系设定满分100分，评分等级：总分大于90分（含90分）为“优”，90﹥总分≥80为“良”，80﹥总分≥60为“中”，低于60分则为“差”。绩效评价指标体系及分值表如表3所示：</w:t>
      </w:r>
    </w:p>
    <w:p>
      <w:pPr>
        <w:adjustRightInd w:val="0"/>
        <w:spacing w:line="360" w:lineRule="auto"/>
        <w:rPr>
          <w:rFonts w:ascii="Times New Roman" w:eastAsia="宋体" w:hAnsiTheme="minorEastAsia" w:cstheme="minorEastAsia"/>
          <w:b/>
          <w:kern w:val="0"/>
          <w:sz w:val="24"/>
          <w:szCs w:val="28"/>
        </w:rPr>
      </w:pPr>
      <w:r>
        <w:rPr>
          <w:rFonts w:hint="eastAsia" w:ascii="Times New Roman" w:eastAsia="宋体" w:hAnsiTheme="minorEastAsia" w:cstheme="minorEastAsia"/>
          <w:b/>
          <w:kern w:val="0"/>
          <w:sz w:val="24"/>
          <w:szCs w:val="28"/>
        </w:rPr>
        <w:t>表3：</w:t>
      </w:r>
    </w:p>
    <w:p>
      <w:pPr>
        <w:adjustRightInd w:val="0"/>
        <w:spacing w:line="360" w:lineRule="auto"/>
        <w:rPr>
          <w:rFonts w:ascii="Times New Roman" w:eastAsia="宋体" w:hAnsiTheme="minorEastAsia" w:cstheme="minorEastAsia"/>
          <w:b/>
          <w:kern w:val="0"/>
          <w:sz w:val="28"/>
          <w:szCs w:val="28"/>
        </w:rPr>
      </w:pPr>
      <w:r>
        <w:rPr>
          <w:rFonts w:hint="eastAsia" w:ascii="Times New Roman" w:eastAsia="宋体" w:hAnsiTheme="minorEastAsia" w:cstheme="minorEastAsia"/>
          <w:b/>
          <w:kern w:val="0"/>
          <w:sz w:val="24"/>
          <w:szCs w:val="28"/>
        </w:rPr>
        <w:t>2022年度德化县城乡居民基本养老保险补助专项资金绩效</w:t>
      </w:r>
      <w:bookmarkStart w:id="149" w:name="_Toc12192"/>
      <w:r>
        <w:rPr>
          <w:rFonts w:hint="eastAsia" w:ascii="Times New Roman" w:eastAsia="宋体" w:hAnsiTheme="minorEastAsia" w:cstheme="minorEastAsia"/>
          <w:b/>
          <w:kern w:val="0"/>
          <w:sz w:val="24"/>
          <w:szCs w:val="28"/>
        </w:rPr>
        <w:t>评价指标体系分值表</w:t>
      </w:r>
      <w:bookmarkEnd w:id="149"/>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588"/>
        <w:gridCol w:w="1520"/>
        <w:gridCol w:w="334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66" w:type="dxa"/>
            <w:vAlign w:val="center"/>
          </w:tcPr>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588" w:type="dxa"/>
            <w:vAlign w:val="center"/>
          </w:tcPr>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520" w:type="dxa"/>
            <w:vAlign w:val="center"/>
          </w:tcPr>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3348" w:type="dxa"/>
            <w:vAlign w:val="center"/>
          </w:tcPr>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vMerge w:val="restart"/>
            <w:vAlign w:val="center"/>
          </w:tcPr>
          <w:p>
            <w:pPr>
              <w:ind w:firstLine="181" w:firstLineChars="100"/>
              <w:rPr>
                <w:rFonts w:hint="eastAsia" w:ascii="宋体" w:hAnsi="宋体" w:eastAsia="宋体" w:cs="宋体"/>
                <w:b/>
                <w:bCs/>
                <w:kern w:val="0"/>
                <w:sz w:val="18"/>
                <w:szCs w:val="18"/>
              </w:rPr>
            </w:pPr>
            <w:r>
              <w:rPr>
                <w:rFonts w:hint="eastAsia" w:ascii="宋体" w:hAnsi="宋体" w:eastAsia="宋体" w:cs="宋体"/>
                <w:b/>
                <w:bCs/>
                <w:kern w:val="0"/>
                <w:sz w:val="18"/>
                <w:szCs w:val="18"/>
              </w:rPr>
              <w:t>投入</w:t>
            </w:r>
          </w:p>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（20分）</w:t>
            </w:r>
          </w:p>
        </w:tc>
        <w:tc>
          <w:tcPr>
            <w:tcW w:w="1588" w:type="dxa"/>
            <w:vMerge w:val="restart"/>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项目立项</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（6分）</w:t>
            </w:r>
          </w:p>
        </w:tc>
        <w:tc>
          <w:tcPr>
            <w:tcW w:w="1520" w:type="dxa"/>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充分性</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（3分）</w:t>
            </w:r>
          </w:p>
        </w:tc>
        <w:tc>
          <w:tcPr>
            <w:tcW w:w="3348" w:type="dxa"/>
          </w:tcPr>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评价要点：</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①项目立项是否符合国家法律法规、国民经济发展规划和相关政策；</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②项目立项是否符合行业发展规划和政策要求；</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③项目立项是否与部门职责范围相符，属于部门履职所需；</w:t>
            </w:r>
          </w:p>
          <w:p>
            <w:pPr>
              <w:widowControl/>
              <w:spacing w:line="0" w:lineRule="atLeas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④项目是否属于公共财政支持范围，是否符合中央、地方事权支出责任划分原则</w:t>
            </w:r>
            <w:r>
              <w:rPr>
                <w:rFonts w:hint="eastAsia" w:ascii="宋体" w:hAnsi="宋体" w:eastAsia="宋体" w:cs="宋体"/>
                <w:color w:val="000000"/>
                <w:kern w:val="0"/>
                <w:sz w:val="18"/>
                <w:szCs w:val="18"/>
                <w:lang w:eastAsia="zh-CN"/>
              </w:rPr>
              <w:t>。</w:t>
            </w:r>
          </w:p>
          <w:p>
            <w:pPr>
              <w:rPr>
                <w:rFonts w:hint="eastAsia" w:ascii="宋体" w:hAnsi="宋体" w:eastAsia="宋体" w:cs="宋体"/>
                <w:color w:val="000000"/>
                <w:kern w:val="0"/>
                <w:sz w:val="18"/>
                <w:szCs w:val="18"/>
              </w:rPr>
            </w:pPr>
            <w:r>
              <w:rPr>
                <w:rFonts w:hint="eastAsia" w:ascii="宋体" w:hAnsi="宋体" w:eastAsia="宋体" w:cs="宋体"/>
                <w:kern w:val="0"/>
                <w:sz w:val="18"/>
                <w:szCs w:val="18"/>
              </w:rPr>
              <w:t>一项不符合扣1分，严重的此项完全不得分。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规范性</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（3分）</w:t>
            </w:r>
          </w:p>
        </w:tc>
        <w:tc>
          <w:tcPr>
            <w:tcW w:w="3348" w:type="dxa"/>
          </w:tcPr>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评价要点：</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①项目是否按照规定的程序申请设立，审批文件、材料是否符合相关要求；</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②事前是否已经过必要的可行性研究、专家论证、风险评估、绩效评估、集体决策。</w:t>
            </w:r>
          </w:p>
          <w:p>
            <w:pPr>
              <w:rPr>
                <w:rFonts w:hint="eastAsia" w:ascii="宋体" w:hAnsi="宋体" w:eastAsia="宋体" w:cs="宋体"/>
                <w:kern w:val="0"/>
                <w:sz w:val="18"/>
                <w:szCs w:val="18"/>
              </w:rPr>
            </w:pPr>
            <w:r>
              <w:rPr>
                <w:rFonts w:hint="eastAsia" w:ascii="宋体" w:hAnsi="宋体" w:eastAsia="宋体" w:cs="宋体"/>
                <w:kern w:val="0"/>
                <w:sz w:val="18"/>
                <w:szCs w:val="18"/>
              </w:rPr>
              <w:t>一项不符合扣1分，严重的此项完全不得分。</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restart"/>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w:t>
            </w:r>
          </w:p>
          <w:p>
            <w:pPr>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（6分）</w:t>
            </w:r>
          </w:p>
        </w:tc>
        <w:tc>
          <w:tcPr>
            <w:tcW w:w="1520" w:type="dxa"/>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时效性</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（3分）</w:t>
            </w:r>
          </w:p>
        </w:tc>
        <w:tc>
          <w:tcPr>
            <w:tcW w:w="3348" w:type="dxa"/>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rPr>
                <w:rFonts w:hint="eastAsia" w:ascii="宋体" w:hAnsi="宋体" w:eastAsia="宋体" w:cs="宋体"/>
                <w:kern w:val="0"/>
                <w:sz w:val="18"/>
                <w:szCs w:val="18"/>
              </w:rPr>
            </w:pPr>
            <w:r>
              <w:rPr>
                <w:rFonts w:hint="eastAsia" w:ascii="宋体" w:hAnsi="宋体" w:eastAsia="宋体" w:cs="宋体"/>
                <w:kern w:val="0"/>
                <w:sz w:val="18"/>
                <w:szCs w:val="18"/>
              </w:rPr>
              <w:t>项目实际实施月份是否晚于计划月份。实际实施月份不晚于计划月份的得满分，比计划月份晚1个月以内扣1分，晚2个月以内扣2分，比计划月份晚2个月以上不得分。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明确性</w:t>
            </w:r>
          </w:p>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（3分）</w:t>
            </w:r>
          </w:p>
        </w:tc>
        <w:tc>
          <w:tcPr>
            <w:tcW w:w="3348" w:type="dxa"/>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评价要点：</w:t>
            </w:r>
          </w:p>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①是否将项目绩效目标细化分解为具体的绩效指标；</w:t>
            </w:r>
          </w:p>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②是否通过清晰、可衡量的指标值予以体现；</w:t>
            </w:r>
          </w:p>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③是否与项目目标任务数或计划数相对应。</w:t>
            </w:r>
          </w:p>
          <w:p>
            <w:pPr>
              <w:rPr>
                <w:rFonts w:hint="eastAsia" w:ascii="宋体" w:hAnsi="宋体" w:eastAsia="宋体" w:cs="宋体"/>
                <w:kern w:val="0"/>
                <w:sz w:val="18"/>
                <w:szCs w:val="18"/>
              </w:rPr>
            </w:pPr>
            <w:r>
              <w:rPr>
                <w:rFonts w:hint="eastAsia" w:ascii="宋体" w:hAnsi="宋体" w:eastAsia="宋体" w:cs="宋体"/>
                <w:kern w:val="0"/>
                <w:sz w:val="18"/>
                <w:szCs w:val="18"/>
              </w:rPr>
              <w:t>一项不符合扣1分，严重的此项完全不得分。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资金投入</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（8分）</w:t>
            </w: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预算编制</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科学性</w:t>
            </w:r>
          </w:p>
          <w:p>
            <w:pPr>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（4分）</w:t>
            </w:r>
          </w:p>
        </w:tc>
        <w:tc>
          <w:tcPr>
            <w:tcW w:w="3348" w:type="dxa"/>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①预算编制是否经过科学论证</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②预算内容与项目内容是否匹配；</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③预算额度测算依据是否充分，是否按照标准编制</w:t>
            </w:r>
          </w:p>
          <w:p>
            <w:pPr>
              <w:rPr>
                <w:rFonts w:hint="eastAsia" w:ascii="宋体" w:hAnsi="宋体" w:eastAsia="宋体" w:cs="宋体"/>
                <w:kern w:val="0"/>
                <w:sz w:val="18"/>
                <w:szCs w:val="18"/>
              </w:rPr>
            </w:pPr>
            <w:r>
              <w:rPr>
                <w:rFonts w:hint="eastAsia" w:ascii="宋体" w:hAnsi="宋体" w:eastAsia="宋体" w:cs="宋体"/>
                <w:kern w:val="0"/>
                <w:sz w:val="18"/>
                <w:szCs w:val="18"/>
              </w:rPr>
              <w:t>一项不符合扣1分，严重的此项完全不得分。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资金分配</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合理性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tc>
        <w:tc>
          <w:tcPr>
            <w:tcW w:w="3348" w:type="dxa"/>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①预算资金分配依据是否充分；</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②资金分配额度是否合理，与项目单位或地方实际是否相适应。</w:t>
            </w:r>
          </w:p>
          <w:p>
            <w:pPr>
              <w:rPr>
                <w:rFonts w:hint="eastAsia" w:ascii="宋体" w:hAnsi="宋体" w:eastAsia="宋体" w:cs="宋体"/>
                <w:color w:val="000000"/>
                <w:kern w:val="0"/>
                <w:sz w:val="18"/>
                <w:szCs w:val="18"/>
              </w:rPr>
            </w:pPr>
            <w:r>
              <w:rPr>
                <w:rFonts w:hint="eastAsia" w:ascii="宋体" w:hAnsi="宋体" w:eastAsia="宋体" w:cs="宋体"/>
                <w:kern w:val="0"/>
                <w:sz w:val="18"/>
                <w:szCs w:val="18"/>
              </w:rPr>
              <w:t>一项不符合扣1分。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6" w:type="dxa"/>
            <w:vMerge w:val="restart"/>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过程</w:t>
            </w:r>
          </w:p>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20</w:t>
            </w:r>
            <w:r>
              <w:rPr>
                <w:rFonts w:hint="eastAsia" w:ascii="宋体" w:hAnsi="宋体" w:eastAsia="宋体" w:cs="宋体"/>
                <w:b/>
                <w:bCs/>
                <w:kern w:val="0"/>
                <w:sz w:val="18"/>
                <w:szCs w:val="18"/>
              </w:rPr>
              <w:t>分）</w:t>
            </w:r>
          </w:p>
        </w:tc>
        <w:tc>
          <w:tcPr>
            <w:tcW w:w="1588"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资金管理</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（7分）</w:t>
            </w: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资金到位率</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tc>
        <w:tc>
          <w:tcPr>
            <w:tcW w:w="3348" w:type="dxa"/>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资金到位率=（实际到位资金/预算资金）×100%。</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实际到位资金：一定时期（本年度或项目期）内落实到具体项目的资金。</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预算资金：一定时期（本年度或项目期）内预算安排到具体项目的资金。</w:t>
            </w:r>
          </w:p>
          <w:p>
            <w:pPr>
              <w:rPr>
                <w:rFonts w:hint="eastAsia" w:ascii="宋体" w:hAnsi="宋体" w:eastAsia="宋体" w:cs="宋体"/>
                <w:spacing w:val="3"/>
                <w:kern w:val="0"/>
                <w:sz w:val="18"/>
                <w:szCs w:val="18"/>
              </w:rPr>
            </w:pPr>
            <w:r>
              <w:rPr>
                <w:rFonts w:hint="eastAsia" w:ascii="宋体" w:hAnsi="宋体" w:eastAsia="宋体" w:cs="宋体"/>
                <w:kern w:val="0"/>
                <w:sz w:val="18"/>
                <w:szCs w:val="18"/>
              </w:rPr>
              <w:t>资金到位率达到100%</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满分，每少5个百分点扣1分，扣完为止。</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预算执行率</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（2分）</w:t>
            </w:r>
          </w:p>
        </w:tc>
        <w:tc>
          <w:tcPr>
            <w:tcW w:w="3348" w:type="dxa"/>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rPr>
              <w:t>评价要点：</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预算执行率=（实际支出资金/实际到位资金）×100%。</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实际支出资金：一定时期（本年度或项目期）内项目实际拨付的资金。</w:t>
            </w:r>
          </w:p>
          <w:p>
            <w:pPr>
              <w:rPr>
                <w:rFonts w:hint="eastAsia" w:ascii="宋体" w:hAnsi="宋体" w:eastAsia="宋体" w:cs="宋体"/>
                <w:kern w:val="0"/>
                <w:sz w:val="18"/>
                <w:szCs w:val="18"/>
              </w:rPr>
            </w:pPr>
            <w:r>
              <w:rPr>
                <w:rFonts w:hint="eastAsia" w:ascii="宋体" w:hAnsi="宋体" w:eastAsia="宋体" w:cs="宋体"/>
                <w:kern w:val="0"/>
                <w:sz w:val="18"/>
                <w:szCs w:val="18"/>
              </w:rPr>
              <w:t>资金使用率大于95%</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满分，每少5个百分点扣1分，扣完为止。</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资金使用</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合规性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（2分）</w:t>
            </w:r>
          </w:p>
        </w:tc>
        <w:tc>
          <w:tcPr>
            <w:tcW w:w="3348" w:type="dxa"/>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①是否符合国家财经法规和财务管理制度以及有关专项资金管理办法的规定</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②资金的拨付是否有完整的审批程序和手续</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③是否符合项目预算批复或合同规定的用途；</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④是否存在截留、挤占、挪用、虚列支出等情况。</w:t>
            </w:r>
          </w:p>
          <w:p>
            <w:pPr>
              <w:rPr>
                <w:rFonts w:hint="eastAsia" w:ascii="宋体" w:hAnsi="宋体" w:eastAsia="宋体" w:cs="宋体"/>
                <w:color w:val="000000"/>
                <w:kern w:val="0"/>
                <w:sz w:val="18"/>
                <w:szCs w:val="18"/>
              </w:rPr>
            </w:pPr>
            <w:r>
              <w:rPr>
                <w:rFonts w:hint="eastAsia" w:ascii="宋体" w:hAnsi="宋体" w:eastAsia="宋体" w:cs="宋体"/>
                <w:kern w:val="0"/>
                <w:sz w:val="18"/>
                <w:szCs w:val="18"/>
              </w:rPr>
              <w:t>一项不符合扣0.5分，严重的此项完全不得分。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组织实施</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分）</w:t>
            </w: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管理制度</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健全性</w:t>
            </w:r>
          </w:p>
          <w:p>
            <w:pPr>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（4分）</w:t>
            </w:r>
          </w:p>
        </w:tc>
        <w:tc>
          <w:tcPr>
            <w:tcW w:w="3348" w:type="dxa"/>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评价要点：</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①是否已制定或具有相应的财务和业务管理制度；</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②财务和业务管理制度是否合法、合规、完整。</w:t>
            </w:r>
          </w:p>
          <w:p>
            <w:pPr>
              <w:rPr>
                <w:rFonts w:hint="eastAsia" w:ascii="宋体" w:hAnsi="宋体" w:eastAsia="宋体" w:cs="宋体"/>
                <w:color w:val="000000"/>
                <w:kern w:val="0"/>
                <w:sz w:val="18"/>
                <w:szCs w:val="18"/>
              </w:rPr>
            </w:pPr>
            <w:r>
              <w:rPr>
                <w:rFonts w:hint="eastAsia" w:ascii="宋体" w:hAnsi="宋体" w:eastAsia="宋体" w:cs="宋体"/>
                <w:kern w:val="0"/>
                <w:sz w:val="18"/>
                <w:szCs w:val="18"/>
              </w:rPr>
              <w:t>一项不符合扣1分。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6" w:type="dxa"/>
            <w:vMerge w:val="continue"/>
            <w:vAlign w:val="center"/>
          </w:tcPr>
          <w:p>
            <w:pPr>
              <w:jc w:val="center"/>
              <w:rPr>
                <w:rFonts w:hint="eastAsia" w:ascii="宋体" w:hAnsi="宋体" w:eastAsia="宋体" w:cs="宋体"/>
                <w:b/>
                <w:bCs/>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有效性</w:t>
            </w:r>
          </w:p>
          <w:p>
            <w:pPr>
              <w:widowControl/>
              <w:spacing w:line="0" w:lineRule="atLeas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（4分）</w:t>
            </w:r>
          </w:p>
        </w:tc>
        <w:tc>
          <w:tcPr>
            <w:tcW w:w="3348" w:type="dxa"/>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①是否遵守相关法律法规和相关管理规定；</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②项目调整及支出调整手续是否完备；</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③项目合同书、验收报告、技术鉴定等资料是否齐全并及时归档；</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④项目实施的人员条件、场地设备、信息支撑等是否落实到位。</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一项不符合扣0.5分，严重的此项完全不得分。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6" w:type="dxa"/>
            <w:vMerge w:val="continue"/>
            <w:vAlign w:val="center"/>
          </w:tcPr>
          <w:p>
            <w:pPr>
              <w:jc w:val="center"/>
              <w:rPr>
                <w:rFonts w:hint="eastAsia" w:ascii="宋体" w:hAnsi="宋体" w:eastAsia="宋体" w:cs="宋体"/>
                <w:b/>
                <w:bCs/>
                <w:kern w:val="0"/>
                <w:sz w:val="18"/>
                <w:szCs w:val="18"/>
              </w:rPr>
            </w:pPr>
          </w:p>
        </w:tc>
        <w:tc>
          <w:tcPr>
            <w:tcW w:w="1588"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财务管理</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（5分）</w:t>
            </w:r>
          </w:p>
        </w:tc>
        <w:tc>
          <w:tcPr>
            <w:tcW w:w="1520"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财务监控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有效性</w:t>
            </w:r>
          </w:p>
          <w:p>
            <w:pPr>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①是否已制定或具有相应的监控机制；是计1分，否计0分；</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②是否采取了相应的财务检查等必要的监控措施或手段。是计1分，否计0分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ind w:firstLine="180" w:firstLineChars="100"/>
              <w:rPr>
                <w:rFonts w:hint="eastAsia" w:ascii="宋体" w:hAnsi="宋体" w:eastAsia="宋体" w:cs="宋体"/>
                <w:kern w:val="0"/>
                <w:sz w:val="18"/>
                <w:szCs w:val="18"/>
              </w:rPr>
            </w:pPr>
            <w:r>
              <w:rPr>
                <w:rFonts w:hint="eastAsia" w:ascii="宋体" w:hAnsi="宋体" w:eastAsia="宋体" w:cs="宋体"/>
                <w:kern w:val="0"/>
                <w:sz w:val="18"/>
                <w:szCs w:val="18"/>
              </w:rPr>
              <w:t>2</w:t>
            </w:r>
          </w:p>
          <w:p>
            <w:pPr>
              <w:ind w:firstLine="360" w:firstLineChars="200"/>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66" w:type="dxa"/>
            <w:vMerge w:val="continue"/>
            <w:vAlign w:val="center"/>
          </w:tcPr>
          <w:p>
            <w:pPr>
              <w:jc w:val="center"/>
              <w:rPr>
                <w:rFonts w:hint="eastAsia" w:ascii="宋体" w:hAnsi="宋体" w:eastAsia="宋体" w:cs="宋体"/>
                <w:b/>
                <w:bCs/>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绩效自评 </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合规性</w:t>
            </w:r>
          </w:p>
          <w:p>
            <w:pPr>
              <w:pStyle w:val="12"/>
              <w:ind w:firstLine="360" w:firstLineChars="200"/>
              <w:rPr>
                <w:rFonts w:hint="eastAsia" w:ascii="宋体" w:hAnsi="宋体" w:eastAsia="宋体" w:cs="宋体"/>
                <w:kern w:val="0"/>
                <w:sz w:val="18"/>
                <w:szCs w:val="18"/>
              </w:rPr>
            </w:pPr>
            <w:r>
              <w:rPr>
                <w:rFonts w:hint="eastAsia" w:ascii="宋体" w:hAnsi="宋体" w:eastAsia="宋体" w:cs="宋体"/>
                <w:color w:val="000000"/>
                <w:kern w:val="0"/>
                <w:sz w:val="18"/>
                <w:szCs w:val="18"/>
              </w:rPr>
              <w:t>（3分）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①是否按要求开展绩效自评工作；</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②绩效自评报告是否报送及时；</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③绩效自评报告是否完整，数据是否全面、 真实、准确，绩效指标是否细化量化和科学合理，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④绩效自评反映的问题是否具体，意见是否可行</w:t>
            </w:r>
            <w:r>
              <w:rPr>
                <w:rFonts w:hint="eastAsia" w:ascii="宋体" w:hAnsi="宋体" w:eastAsia="宋体" w:cs="宋体"/>
                <w:kern w:val="0"/>
                <w:sz w:val="18"/>
                <w:szCs w:val="18"/>
                <w:lang w:eastAsia="zh-CN"/>
              </w:rPr>
              <w:t>。</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一项不符合扣0.5分，严重的此项完全不得分。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966" w:type="dxa"/>
            <w:vMerge w:val="restart"/>
            <w:vAlign w:val="center"/>
          </w:tcPr>
          <w:p>
            <w:pPr>
              <w:widowControl/>
              <w:rPr>
                <w:rFonts w:hint="eastAsia" w:ascii="宋体" w:hAnsi="宋体" w:eastAsia="宋体" w:cs="宋体"/>
                <w:b/>
                <w:bCs/>
                <w:kern w:val="0"/>
                <w:sz w:val="18"/>
                <w:szCs w:val="18"/>
              </w:rPr>
            </w:pPr>
          </w:p>
          <w:p>
            <w:pPr>
              <w:widowControl/>
              <w:jc w:val="center"/>
              <w:rPr>
                <w:rFonts w:hint="eastAsia" w:ascii="宋体" w:hAnsi="宋体" w:eastAsia="宋体" w:cs="宋体"/>
                <w:b/>
                <w:bCs/>
                <w:kern w:val="0"/>
                <w:sz w:val="18"/>
                <w:szCs w:val="18"/>
              </w:rPr>
            </w:pPr>
          </w:p>
          <w:p>
            <w:pPr>
              <w:widowControl/>
              <w:jc w:val="center"/>
              <w:rPr>
                <w:rFonts w:hint="eastAsia" w:ascii="宋体" w:hAnsi="宋体" w:eastAsia="宋体" w:cs="宋体"/>
                <w:b/>
                <w:bCs/>
                <w:kern w:val="0"/>
                <w:sz w:val="18"/>
                <w:szCs w:val="18"/>
              </w:rPr>
            </w:pP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产出</w:t>
            </w:r>
          </w:p>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30</w:t>
            </w:r>
            <w:r>
              <w:rPr>
                <w:rFonts w:hint="eastAsia" w:ascii="宋体" w:hAnsi="宋体" w:eastAsia="宋体" w:cs="宋体"/>
                <w:b/>
                <w:bCs/>
                <w:kern w:val="0"/>
                <w:sz w:val="18"/>
                <w:szCs w:val="18"/>
              </w:rPr>
              <w:t>分）</w:t>
            </w:r>
          </w:p>
          <w:p>
            <w:pPr>
              <w:jc w:val="center"/>
              <w:rPr>
                <w:rFonts w:hint="eastAsia" w:ascii="宋体" w:hAnsi="宋体" w:eastAsia="宋体" w:cs="宋体"/>
                <w:b/>
                <w:bCs/>
                <w:kern w:val="0"/>
                <w:sz w:val="18"/>
                <w:szCs w:val="18"/>
              </w:rPr>
            </w:pPr>
          </w:p>
        </w:tc>
        <w:tc>
          <w:tcPr>
            <w:tcW w:w="1588"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产出数量</w:t>
            </w:r>
          </w:p>
          <w:p>
            <w:pPr>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w:t>
            </w:r>
            <w:r>
              <w:rPr>
                <w:rFonts w:hint="eastAsia" w:ascii="宋体" w:hAnsi="宋体" w:eastAsia="宋体" w:cs="宋体"/>
                <w:kern w:val="0"/>
                <w:sz w:val="18"/>
                <w:szCs w:val="18"/>
                <w:lang w:val="en-US" w:eastAsia="zh-CN" w:bidi="ar"/>
              </w:rPr>
              <w:t>12</w:t>
            </w:r>
            <w:r>
              <w:rPr>
                <w:rFonts w:hint="eastAsia" w:ascii="宋体" w:hAnsi="宋体" w:eastAsia="宋体" w:cs="宋体"/>
                <w:kern w:val="0"/>
                <w:sz w:val="18"/>
                <w:szCs w:val="18"/>
                <w:lang w:bidi="ar"/>
              </w:rPr>
              <w:t>分）</w:t>
            </w:r>
          </w:p>
          <w:p>
            <w:pPr>
              <w:jc w:val="center"/>
              <w:rPr>
                <w:rFonts w:hint="eastAsia" w:ascii="宋体" w:hAnsi="宋体" w:eastAsia="宋体" w:cs="宋体"/>
                <w:kern w:val="0"/>
                <w:sz w:val="18"/>
                <w:szCs w:val="18"/>
              </w:rPr>
            </w:pPr>
          </w:p>
        </w:tc>
        <w:tc>
          <w:tcPr>
            <w:tcW w:w="1520"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参保缴费</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补贴人数</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60周岁以下参保缴费人数达到107900人次以上得满分，每少100人扣1分，扣完为止。</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continue"/>
            <w:vAlign w:val="center"/>
          </w:tcPr>
          <w:p>
            <w:pPr>
              <w:rPr>
                <w:rFonts w:hint="eastAsia" w:ascii="宋体" w:hAnsi="宋体" w:eastAsia="宋体" w:cs="宋体"/>
                <w:kern w:val="0"/>
                <w:sz w:val="18"/>
                <w:szCs w:val="18"/>
              </w:rPr>
            </w:pPr>
          </w:p>
        </w:tc>
        <w:tc>
          <w:tcPr>
            <w:tcW w:w="1520"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养老金领取人数</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60周岁以上养老金领取数量41450人以上得满分，每少100人扣1分，扣完为止。</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continue"/>
            <w:vAlign w:val="center"/>
          </w:tcPr>
          <w:p>
            <w:pP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个人缴费率</w:t>
            </w:r>
          </w:p>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（4分）</w:t>
            </w:r>
          </w:p>
        </w:tc>
        <w:tc>
          <w:tcPr>
            <w:tcW w:w="3348" w:type="dxa"/>
            <w:vAlign w:val="center"/>
          </w:tcPr>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评价要点：</w:t>
            </w:r>
          </w:p>
          <w:p>
            <w:pPr>
              <w:widowControl/>
              <w:spacing w:line="0" w:lineRule="atLeas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2022年度</w:t>
            </w:r>
            <w:r>
              <w:rPr>
                <w:rFonts w:hint="eastAsia" w:ascii="宋体" w:hAnsi="宋体" w:eastAsia="宋体" w:cs="宋体"/>
                <w:kern w:val="0"/>
                <w:sz w:val="18"/>
                <w:szCs w:val="18"/>
                <w:highlight w:val="none"/>
                <w:lang w:val="en-US" w:eastAsia="zh-CN"/>
              </w:rPr>
              <w:t>城乡居民基本养老保险全年已收取的个人缴费占应收取个人缴费的情况。缴费率达90%</w:t>
            </w:r>
            <w:r>
              <w:rPr>
                <w:rFonts w:hint="eastAsia" w:ascii="宋体" w:hAnsi="宋体" w:eastAsia="宋体" w:cs="宋体"/>
                <w:kern w:val="0"/>
                <w:sz w:val="18"/>
                <w:szCs w:val="18"/>
                <w:highlight w:val="none"/>
              </w:rPr>
              <w:t>以上得满分，每少</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人扣1分，扣完为止。</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highlight w:val="none"/>
              </w:rPr>
            </w:pPr>
          </w:p>
          <w:p>
            <w:pPr>
              <w:jc w:val="center"/>
              <w:rPr>
                <w:rFonts w:hint="eastAsia" w:ascii="宋体" w:hAnsi="宋体" w:eastAsia="宋体" w:cs="宋体"/>
                <w:kern w:val="0"/>
                <w:sz w:val="18"/>
                <w:szCs w:val="18"/>
                <w:highlight w:val="none"/>
              </w:rPr>
            </w:pPr>
          </w:p>
          <w:p>
            <w:pPr>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产出质量</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（12分）</w:t>
            </w:r>
          </w:p>
          <w:p>
            <w:pPr>
              <w:jc w:val="cente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养老金发放</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合规性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rPr>
                <w:rFonts w:hint="eastAsia" w:ascii="宋体" w:hAnsi="宋体" w:eastAsia="宋体" w:cs="宋体"/>
                <w:kern w:val="0"/>
                <w:sz w:val="18"/>
                <w:szCs w:val="18"/>
              </w:rPr>
            </w:pPr>
            <w:r>
              <w:rPr>
                <w:rFonts w:hint="eastAsia" w:ascii="宋体" w:hAnsi="宋体" w:eastAsia="宋体" w:cs="宋体"/>
                <w:kern w:val="0"/>
                <w:sz w:val="18"/>
                <w:szCs w:val="18"/>
              </w:rPr>
              <w:t>①是否严格执行社会保险待遇核定、发放相关制度；</w:t>
            </w:r>
          </w:p>
          <w:p>
            <w:pPr>
              <w:rPr>
                <w:rFonts w:hint="eastAsia" w:ascii="宋体" w:hAnsi="宋体" w:eastAsia="宋体" w:cs="宋体"/>
                <w:kern w:val="0"/>
                <w:sz w:val="18"/>
                <w:szCs w:val="18"/>
              </w:rPr>
            </w:pPr>
            <w:r>
              <w:rPr>
                <w:rFonts w:hint="eastAsia" w:ascii="宋体" w:hAnsi="宋体" w:eastAsia="宋体" w:cs="宋体"/>
                <w:kern w:val="0"/>
                <w:sz w:val="18"/>
                <w:szCs w:val="18"/>
              </w:rPr>
              <w:t>②是否确保各项待遇及时发放；</w:t>
            </w:r>
          </w:p>
          <w:p>
            <w:pPr>
              <w:rPr>
                <w:rFonts w:hint="eastAsia" w:ascii="宋体" w:hAnsi="宋体" w:eastAsia="宋体" w:cs="宋体"/>
                <w:kern w:val="0"/>
                <w:sz w:val="18"/>
                <w:szCs w:val="18"/>
              </w:rPr>
            </w:pPr>
            <w:r>
              <w:rPr>
                <w:rFonts w:hint="eastAsia" w:ascii="宋体" w:hAnsi="宋体" w:eastAsia="宋体" w:cs="宋体"/>
                <w:kern w:val="0"/>
                <w:sz w:val="18"/>
                <w:szCs w:val="18"/>
              </w:rPr>
              <w:t>③是否实现100%应发尽发。</w:t>
            </w:r>
          </w:p>
          <w:p>
            <w:pPr>
              <w:rPr>
                <w:rFonts w:hint="eastAsia" w:ascii="宋体" w:hAnsi="宋体" w:eastAsia="宋体" w:cs="宋体"/>
                <w:kern w:val="0"/>
                <w:sz w:val="18"/>
                <w:szCs w:val="18"/>
              </w:rPr>
            </w:pPr>
            <w:r>
              <w:rPr>
                <w:rFonts w:hint="eastAsia" w:ascii="宋体" w:hAnsi="宋体" w:eastAsia="宋体" w:cs="宋体"/>
                <w:kern w:val="0"/>
                <w:sz w:val="18"/>
                <w:szCs w:val="18"/>
              </w:rPr>
              <w:t>④是否及时提醒临期人员进行认证、上门服务认证等工作。</w:t>
            </w:r>
          </w:p>
          <w:p>
            <w:pPr>
              <w:rPr>
                <w:rFonts w:hint="eastAsia" w:ascii="宋体" w:hAnsi="宋体" w:eastAsia="宋体" w:cs="宋体"/>
                <w:kern w:val="0"/>
                <w:sz w:val="18"/>
                <w:szCs w:val="18"/>
              </w:rPr>
            </w:pPr>
            <w:r>
              <w:rPr>
                <w:rFonts w:hint="eastAsia" w:ascii="宋体" w:hAnsi="宋体" w:eastAsia="宋体" w:cs="宋体"/>
                <w:kern w:val="0"/>
                <w:sz w:val="18"/>
                <w:szCs w:val="18"/>
              </w:rPr>
              <w:t>一项不符合扣</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违规领取待遇</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追讨力度</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①是否实现数据实时共享；</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②是否加强信息比对工作；</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③是否开展违规领取清理行动；</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④是否追回全部违规待遇金额，维护基金安全。</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一项不符合扣1分，严重的此项完全不得分。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共享机制</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健全性</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rPr>
              <w:t>4分</w:t>
            </w:r>
            <w:r>
              <w:rPr>
                <w:rFonts w:hint="eastAsia" w:ascii="宋体" w:hAnsi="宋体" w:eastAsia="宋体" w:cs="宋体"/>
                <w:kern w:val="0"/>
                <w:sz w:val="18"/>
                <w:szCs w:val="18"/>
                <w:lang w:eastAsia="zh-CN"/>
              </w:rPr>
              <w:t>）</w:t>
            </w:r>
          </w:p>
        </w:tc>
        <w:tc>
          <w:tcPr>
            <w:tcW w:w="3348" w:type="dxa"/>
            <w:vAlign w:val="center"/>
          </w:tcPr>
          <w:p>
            <w:pPr>
              <w:widowControl/>
              <w:jc w:val="left"/>
              <w:rPr>
                <w:rFonts w:hint="eastAsia" w:ascii="宋体" w:hAnsi="宋体" w:eastAsia="宋体" w:cs="宋体"/>
                <w:kern w:val="0"/>
                <w:sz w:val="18"/>
                <w:szCs w:val="18"/>
                <w:lang w:bidi="zh-TW"/>
              </w:rPr>
            </w:pPr>
            <w:r>
              <w:rPr>
                <w:rFonts w:hint="eastAsia" w:ascii="宋体" w:hAnsi="宋体" w:eastAsia="宋体" w:cs="宋体"/>
                <w:kern w:val="0"/>
                <w:sz w:val="18"/>
                <w:szCs w:val="18"/>
              </w:rPr>
              <w:t>评价要点：</w:t>
            </w:r>
          </w:p>
          <w:p>
            <w:pPr>
              <w:widowControl/>
              <w:rPr>
                <w:rFonts w:hint="eastAsia" w:ascii="宋体" w:hAnsi="宋体" w:eastAsia="宋体" w:cs="宋体"/>
                <w:kern w:val="0"/>
                <w:sz w:val="18"/>
                <w:szCs w:val="18"/>
                <w:lang w:bidi="zh-TW"/>
              </w:rPr>
            </w:pPr>
            <w:r>
              <w:rPr>
                <w:rFonts w:hint="eastAsia" w:ascii="宋体" w:hAnsi="宋体" w:eastAsia="宋体" w:cs="宋体"/>
                <w:kern w:val="0"/>
                <w:sz w:val="18"/>
                <w:szCs w:val="18"/>
              </w:rPr>
              <w:t>①是否加强乡镇劳动保障工作平台建设</w:t>
            </w:r>
            <w:r>
              <w:rPr>
                <w:rFonts w:hint="eastAsia" w:ascii="宋体" w:hAnsi="宋体" w:eastAsia="宋体" w:cs="宋体"/>
                <w:kern w:val="0"/>
                <w:sz w:val="18"/>
                <w:szCs w:val="18"/>
                <w:lang w:bidi="zh-TW"/>
              </w:rPr>
              <w:t>；</w:t>
            </w:r>
          </w:p>
          <w:p>
            <w:pPr>
              <w:widowControl/>
              <w:rPr>
                <w:rFonts w:hint="eastAsia" w:ascii="宋体" w:hAnsi="宋体" w:eastAsia="宋体" w:cs="宋体"/>
                <w:kern w:val="0"/>
                <w:sz w:val="18"/>
                <w:szCs w:val="18"/>
                <w:lang w:bidi="zh-TW"/>
              </w:rPr>
            </w:pPr>
            <w:r>
              <w:rPr>
                <w:rFonts w:hint="eastAsia" w:ascii="宋体" w:hAnsi="宋体" w:eastAsia="宋体" w:cs="宋体"/>
                <w:kern w:val="0"/>
                <w:sz w:val="18"/>
                <w:szCs w:val="18"/>
              </w:rPr>
              <w:t>②是否推行全省统一的社会保障卡使用</w:t>
            </w:r>
            <w:r>
              <w:rPr>
                <w:rFonts w:hint="eastAsia" w:ascii="宋体" w:hAnsi="宋体" w:eastAsia="宋体" w:cs="宋体"/>
                <w:kern w:val="0"/>
                <w:sz w:val="18"/>
                <w:szCs w:val="18"/>
                <w:lang w:bidi="zh-TW"/>
              </w:rPr>
              <w:t>；</w:t>
            </w:r>
          </w:p>
          <w:p>
            <w:pPr>
              <w:widowControl/>
              <w:rPr>
                <w:rFonts w:hint="eastAsia" w:ascii="宋体" w:hAnsi="宋体" w:eastAsia="宋体" w:cs="宋体"/>
                <w:kern w:val="0"/>
                <w:sz w:val="18"/>
                <w:szCs w:val="18"/>
              </w:rPr>
            </w:pPr>
            <w:r>
              <w:rPr>
                <w:rFonts w:hint="eastAsia" w:ascii="宋体" w:hAnsi="宋体" w:eastAsia="宋体" w:cs="宋体"/>
                <w:kern w:val="0"/>
                <w:sz w:val="18"/>
                <w:szCs w:val="18"/>
              </w:rPr>
              <w:t>③是否完善城乡居民养老保险信息管理系统。</w:t>
            </w:r>
          </w:p>
          <w:p>
            <w:pPr>
              <w:pStyle w:val="12"/>
              <w:rPr>
                <w:rFonts w:hint="eastAsia" w:ascii="宋体" w:hAnsi="宋体" w:eastAsia="宋体" w:cs="宋体"/>
                <w:sz w:val="18"/>
                <w:szCs w:val="18"/>
              </w:rPr>
            </w:pPr>
            <w:r>
              <w:rPr>
                <w:rFonts w:hint="eastAsia" w:ascii="宋体" w:hAnsi="宋体" w:eastAsia="宋体" w:cs="宋体"/>
                <w:kern w:val="0"/>
                <w:sz w:val="18"/>
                <w:szCs w:val="18"/>
              </w:rPr>
              <w:t>④是否联动各</w:t>
            </w:r>
            <w:r>
              <w:rPr>
                <w:rFonts w:hint="eastAsia" w:ascii="宋体" w:hAnsi="宋体" w:eastAsia="宋体" w:cs="宋体"/>
                <w:sz w:val="18"/>
                <w:szCs w:val="18"/>
              </w:rPr>
              <w:t>有关部门密切配合，共同做好城乡居民养老保险的组织实施工作。</w:t>
            </w:r>
          </w:p>
          <w:p>
            <w:pPr>
              <w:widowControl/>
              <w:rPr>
                <w:rFonts w:hint="eastAsia" w:ascii="宋体" w:hAnsi="宋体" w:eastAsia="宋体" w:cs="宋体"/>
                <w:kern w:val="0"/>
                <w:sz w:val="18"/>
                <w:szCs w:val="18"/>
                <w:lang w:val="zh-TW" w:bidi="zh-TW"/>
              </w:rPr>
            </w:pPr>
            <w:r>
              <w:rPr>
                <w:rFonts w:hint="eastAsia" w:ascii="宋体" w:hAnsi="宋体" w:eastAsia="宋体" w:cs="宋体"/>
                <w:kern w:val="0"/>
                <w:sz w:val="18"/>
                <w:szCs w:val="18"/>
              </w:rPr>
              <w:t>一项不符合扣1分，严重的此项完全不得分。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Align w:val="center"/>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产出时效</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p>
            <w:pP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每月养老金</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按时发放率</w:t>
            </w:r>
          </w:p>
          <w:p>
            <w:pPr>
              <w:widowControl/>
              <w:jc w:val="center"/>
              <w:rPr>
                <w:rFonts w:hint="eastAsia" w:ascii="宋体" w:hAnsi="宋体" w:eastAsia="宋体" w:cs="宋体"/>
                <w:color w:val="FF0000"/>
                <w:kern w:val="0"/>
                <w:sz w:val="18"/>
                <w:szCs w:val="18"/>
              </w:rPr>
            </w:pPr>
            <w:r>
              <w:rPr>
                <w:rFonts w:hint="eastAsia" w:ascii="宋体" w:hAnsi="宋体" w:eastAsia="宋体" w:cs="宋体"/>
                <w:kern w:val="0"/>
                <w:sz w:val="18"/>
                <w:szCs w:val="18"/>
              </w:rPr>
              <w:t>（3分）</w:t>
            </w:r>
          </w:p>
        </w:tc>
        <w:tc>
          <w:tcPr>
            <w:tcW w:w="3348"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rPr>
                <w:rFonts w:hint="eastAsia" w:ascii="宋体" w:hAnsi="宋体" w:eastAsia="宋体" w:cs="宋体"/>
                <w:color w:val="FF0000"/>
                <w:kern w:val="0"/>
                <w:sz w:val="18"/>
                <w:szCs w:val="18"/>
              </w:rPr>
            </w:pPr>
            <w:r>
              <w:rPr>
                <w:rFonts w:hint="eastAsia" w:ascii="宋体" w:hAnsi="宋体" w:eastAsia="宋体" w:cs="宋体"/>
                <w:kern w:val="0"/>
                <w:sz w:val="18"/>
                <w:szCs w:val="18"/>
              </w:rPr>
              <w:t>每月养老金按时发放率达到100%</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满分，减少5个百分点扣1分。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vMerge w:val="continue"/>
            <w:vAlign w:val="center"/>
          </w:tcPr>
          <w:p>
            <w:pPr>
              <w:jc w:val="center"/>
              <w:rPr>
                <w:rFonts w:hint="eastAsia" w:ascii="宋体" w:hAnsi="宋体" w:eastAsia="宋体" w:cs="宋体"/>
                <w:kern w:val="0"/>
                <w:sz w:val="18"/>
                <w:szCs w:val="18"/>
              </w:rPr>
            </w:pPr>
          </w:p>
        </w:tc>
        <w:tc>
          <w:tcPr>
            <w:tcW w:w="1588"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产出成本</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p>
            <w:pP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成本控制率</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tc>
        <w:tc>
          <w:tcPr>
            <w:tcW w:w="3348"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成本控制率≤100%得满分，每多于10%一项扣1分。</w:t>
            </w:r>
          </w:p>
        </w:tc>
        <w:tc>
          <w:tcPr>
            <w:tcW w:w="109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vMerge w:val="restart"/>
            <w:vAlign w:val="center"/>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效益</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（30分）</w:t>
            </w:r>
          </w:p>
          <w:p>
            <w:pPr>
              <w:rPr>
                <w:rFonts w:hint="eastAsia" w:ascii="宋体" w:hAnsi="宋体" w:eastAsia="宋体" w:cs="宋体"/>
                <w:kern w:val="0"/>
                <w:sz w:val="18"/>
                <w:szCs w:val="18"/>
              </w:rPr>
            </w:pPr>
          </w:p>
          <w:p>
            <w:pPr>
              <w:rPr>
                <w:rFonts w:hint="eastAsia" w:ascii="宋体" w:hAnsi="宋体" w:eastAsia="宋体" w:cs="宋体"/>
                <w:kern w:val="0"/>
                <w:sz w:val="18"/>
                <w:szCs w:val="18"/>
              </w:rPr>
            </w:pPr>
          </w:p>
          <w:p>
            <w:pPr>
              <w:rPr>
                <w:rFonts w:hint="eastAsia" w:ascii="宋体" w:hAnsi="宋体" w:eastAsia="宋体" w:cs="宋体"/>
                <w:kern w:val="0"/>
                <w:sz w:val="18"/>
                <w:szCs w:val="18"/>
              </w:rPr>
            </w:pPr>
          </w:p>
          <w:p>
            <w:pPr>
              <w:rPr>
                <w:rFonts w:hint="eastAsia" w:ascii="宋体" w:hAnsi="宋体" w:eastAsia="宋体" w:cs="宋体"/>
                <w:kern w:val="0"/>
                <w:sz w:val="18"/>
                <w:szCs w:val="18"/>
              </w:rPr>
            </w:pPr>
          </w:p>
          <w:p>
            <w:pPr>
              <w:rPr>
                <w:rFonts w:hint="eastAsia" w:ascii="宋体" w:hAnsi="宋体" w:eastAsia="宋体" w:cs="宋体"/>
                <w:kern w:val="0"/>
                <w:sz w:val="18"/>
                <w:szCs w:val="18"/>
              </w:rPr>
            </w:pPr>
          </w:p>
        </w:tc>
        <w:tc>
          <w:tcPr>
            <w:tcW w:w="1588" w:type="dxa"/>
            <w:vMerge w:val="restart"/>
            <w:vAlign w:val="center"/>
          </w:tcPr>
          <w:p>
            <w:pPr>
              <w:widowControl/>
              <w:jc w:val="center"/>
              <w:rPr>
                <w:rFonts w:hint="eastAsia" w:ascii="宋体" w:hAnsi="宋体" w:eastAsia="宋体" w:cs="宋体"/>
                <w:kern w:val="0"/>
                <w:sz w:val="18"/>
                <w:szCs w:val="18"/>
              </w:rPr>
            </w:pPr>
          </w:p>
          <w:p>
            <w:pPr>
              <w:widowControl/>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社会效益</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w:t>
            </w:r>
            <w:r>
              <w:rPr>
                <w:rFonts w:hint="eastAsia" w:ascii="宋体" w:hAnsi="宋体" w:eastAsia="宋体" w:cs="宋体"/>
                <w:kern w:val="0"/>
                <w:sz w:val="18"/>
                <w:szCs w:val="18"/>
                <w:lang w:val="en-US" w:eastAsia="zh-CN" w:bidi="ar"/>
              </w:rPr>
              <w:t>8</w:t>
            </w:r>
            <w:r>
              <w:rPr>
                <w:rFonts w:hint="eastAsia" w:ascii="宋体" w:hAnsi="宋体" w:eastAsia="宋体" w:cs="宋体"/>
                <w:kern w:val="0"/>
                <w:sz w:val="18"/>
                <w:szCs w:val="18"/>
                <w:lang w:bidi="ar"/>
              </w:rPr>
              <w:t>分）</w:t>
            </w:r>
          </w:p>
          <w:p>
            <w:pPr>
              <w:rPr>
                <w:rFonts w:hint="eastAsia" w:ascii="宋体" w:hAnsi="宋体" w:eastAsia="宋体" w:cs="宋体"/>
                <w:kern w:val="0"/>
                <w:sz w:val="18"/>
                <w:szCs w:val="18"/>
              </w:rPr>
            </w:pPr>
          </w:p>
          <w:p>
            <w:pPr>
              <w:widowControl/>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tc>
        <w:tc>
          <w:tcPr>
            <w:tcW w:w="1520"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经办队伍</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稳定性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是否明确城乡居民养老保险工作职责，城乡居民保中心配备专人负责</w:t>
            </w:r>
            <w:r>
              <w:rPr>
                <w:rFonts w:hint="eastAsia" w:ascii="宋体" w:hAnsi="宋体" w:eastAsia="宋体" w:cs="宋体"/>
                <w:kern w:val="0"/>
                <w:sz w:val="18"/>
                <w:szCs w:val="18"/>
                <w:lang w:eastAsia="zh-CN"/>
              </w:rPr>
              <w:t>；</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是否加强乡镇劳动保障工作平台建设，配备专人负责。</w:t>
            </w:r>
          </w:p>
          <w:p>
            <w:pPr>
              <w:pStyle w:val="12"/>
              <w:rPr>
                <w:rFonts w:hint="eastAsia" w:ascii="宋体" w:hAnsi="宋体" w:eastAsia="宋体" w:cs="宋体"/>
                <w:kern w:val="0"/>
                <w:sz w:val="18"/>
                <w:szCs w:val="18"/>
              </w:rPr>
            </w:pPr>
            <w:r>
              <w:rPr>
                <w:rFonts w:hint="eastAsia" w:ascii="宋体" w:hAnsi="宋体" w:eastAsia="宋体" w:cs="宋体"/>
                <w:kern w:val="0"/>
                <w:sz w:val="18"/>
                <w:szCs w:val="18"/>
              </w:rPr>
              <w:t>一项不符合扣2分，严重的此项完全不得分。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66" w:type="dxa"/>
            <w:vMerge w:val="continue"/>
          </w:tcPr>
          <w:p>
            <w:pPr>
              <w:rPr>
                <w:rFonts w:hint="eastAsia" w:ascii="宋体" w:hAnsi="宋体" w:eastAsia="宋体" w:cs="宋体"/>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政策宣传</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①是否深入基层开展城乡居民养老保险政策宣讲活动；</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②是否全面对政策进行全面宣讲与解读；</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③是否引导城乡居民踊跃参保、持续缴费，保障参保人的合法权益</w:t>
            </w:r>
            <w:r>
              <w:rPr>
                <w:rFonts w:hint="eastAsia" w:ascii="宋体" w:hAnsi="宋体" w:eastAsia="宋体" w:cs="宋体"/>
                <w:kern w:val="0"/>
                <w:sz w:val="18"/>
                <w:szCs w:val="18"/>
                <w:lang w:eastAsia="zh-CN"/>
              </w:rPr>
              <w:t>；</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④宣讲内容是否注重运用通俗易懂的语言和群众易于接受的方式。</w:t>
            </w:r>
          </w:p>
          <w:p>
            <w:pPr>
              <w:pStyle w:val="12"/>
              <w:rPr>
                <w:rFonts w:hint="eastAsia" w:ascii="宋体" w:hAnsi="宋体" w:eastAsia="宋体" w:cs="宋体"/>
                <w:sz w:val="18"/>
                <w:szCs w:val="18"/>
              </w:rPr>
            </w:pPr>
            <w:r>
              <w:rPr>
                <w:rFonts w:hint="eastAsia" w:ascii="宋体" w:hAnsi="宋体" w:eastAsia="宋体" w:cs="宋体"/>
                <w:kern w:val="0"/>
                <w:sz w:val="18"/>
                <w:szCs w:val="18"/>
              </w:rPr>
              <w:t>一项不符合扣1分，严重的此项完全不得分。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966" w:type="dxa"/>
            <w:vMerge w:val="continue"/>
          </w:tcPr>
          <w:p>
            <w:pPr>
              <w:rPr>
                <w:rFonts w:hint="eastAsia" w:ascii="宋体" w:hAnsi="宋体" w:eastAsia="宋体" w:cs="宋体"/>
                <w:kern w:val="0"/>
                <w:sz w:val="18"/>
                <w:szCs w:val="18"/>
              </w:rPr>
            </w:pPr>
          </w:p>
        </w:tc>
        <w:tc>
          <w:tcPr>
            <w:tcW w:w="1588" w:type="dxa"/>
            <w:vMerge w:val="restart"/>
            <w:vAlign w:val="center"/>
          </w:tcPr>
          <w:p>
            <w:pPr>
              <w:widowControl/>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经济效益</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（8分）</w:t>
            </w:r>
          </w:p>
          <w:p>
            <w:pPr>
              <w:jc w:val="cente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人均基础养老金提高</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县政府是否根据经济发展和物价指数变动等情况，适时调整提高城乡居民养老保险基础养老金月发放标准。效果显著得4分，效果较好得3分，效果一般得1</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2分，效果差不得分。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6" w:type="dxa"/>
            <w:vMerge w:val="continue"/>
          </w:tcPr>
          <w:p>
            <w:pPr>
              <w:rPr>
                <w:rFonts w:hint="eastAsia" w:ascii="宋体" w:hAnsi="宋体" w:eastAsia="宋体" w:cs="宋体"/>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特殊参保对象</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受益度</w:t>
            </w:r>
          </w:p>
          <w:p>
            <w:pPr>
              <w:pStyle w:val="12"/>
              <w:jc w:val="center"/>
              <w:rPr>
                <w:rFonts w:hint="eastAsia" w:ascii="宋体" w:hAnsi="宋体" w:eastAsia="宋体" w:cs="宋体"/>
                <w:sz w:val="18"/>
                <w:szCs w:val="18"/>
              </w:rPr>
            </w:pPr>
            <w:r>
              <w:rPr>
                <w:rFonts w:hint="eastAsia" w:ascii="宋体" w:hAnsi="宋体" w:eastAsia="宋体" w:cs="宋体"/>
                <w:kern w:val="0"/>
                <w:sz w:val="18"/>
                <w:szCs w:val="18"/>
              </w:rPr>
              <w:t>（4分）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特殊参保对象受益度效果显著得4分，效果较好得3分，效果一般得1</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2分，效果差不得分。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6" w:type="dxa"/>
            <w:vMerge w:val="continue"/>
          </w:tcPr>
          <w:p>
            <w:pPr>
              <w:rPr>
                <w:rFonts w:hint="eastAsia" w:ascii="宋体" w:hAnsi="宋体" w:eastAsia="宋体" w:cs="宋体"/>
                <w:kern w:val="0"/>
                <w:sz w:val="18"/>
                <w:szCs w:val="18"/>
              </w:rPr>
            </w:pPr>
          </w:p>
        </w:tc>
        <w:tc>
          <w:tcPr>
            <w:tcW w:w="1588" w:type="dxa"/>
            <w:vMerge w:val="restart"/>
            <w:vAlign w:val="center"/>
          </w:tcPr>
          <w:p>
            <w:pPr>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可持续</w:t>
            </w:r>
          </w:p>
          <w:p>
            <w:pPr>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影响</w:t>
            </w:r>
          </w:p>
          <w:p>
            <w:pPr>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w:t>
            </w:r>
            <w:r>
              <w:rPr>
                <w:rFonts w:hint="eastAsia" w:ascii="宋体" w:hAnsi="宋体" w:eastAsia="宋体" w:cs="宋体"/>
                <w:kern w:val="0"/>
                <w:sz w:val="18"/>
                <w:szCs w:val="18"/>
                <w:lang w:val="en-US" w:eastAsia="zh-CN" w:bidi="ar"/>
              </w:rPr>
              <w:t>8</w:t>
            </w:r>
            <w:r>
              <w:rPr>
                <w:rFonts w:hint="eastAsia" w:ascii="宋体" w:hAnsi="宋体" w:eastAsia="宋体" w:cs="宋体"/>
                <w:kern w:val="0"/>
                <w:sz w:val="18"/>
                <w:szCs w:val="18"/>
                <w:lang w:bidi="ar"/>
              </w:rPr>
              <w:t>分）</w:t>
            </w:r>
          </w:p>
          <w:p>
            <w:pPr>
              <w:jc w:val="cente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个人账户储存额连续性</w:t>
            </w:r>
          </w:p>
          <w:p>
            <w:pPr>
              <w:pStyle w:val="12"/>
              <w:jc w:val="center"/>
              <w:rPr>
                <w:rFonts w:hint="eastAsia" w:ascii="宋体" w:hAnsi="宋体" w:eastAsia="宋体" w:cs="宋体"/>
                <w:sz w:val="18"/>
                <w:szCs w:val="18"/>
              </w:rPr>
            </w:pPr>
            <w:r>
              <w:rPr>
                <w:rFonts w:hint="eastAsia" w:ascii="宋体" w:hAnsi="宋体" w:eastAsia="宋体" w:cs="宋体"/>
                <w:kern w:val="0"/>
                <w:sz w:val="18"/>
                <w:szCs w:val="18"/>
              </w:rPr>
              <w:t>（4分）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①是否为城乡居民养老保险经办机构为每位参保人员建立终身记录的养老保险个人账户；</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②是否按照《德化县人民政府关于完善德化县城乡居民基本养老保险的实施意见》（德政〔2014〕367号）的要求进行执行。</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一项不符合扣2分，严重的此项完全不得分。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966" w:type="dxa"/>
            <w:vMerge w:val="continue"/>
          </w:tcPr>
          <w:p>
            <w:pPr>
              <w:rPr>
                <w:rFonts w:hint="eastAsia" w:ascii="宋体" w:hAnsi="宋体" w:eastAsia="宋体" w:cs="宋体"/>
                <w:kern w:val="0"/>
                <w:sz w:val="18"/>
                <w:szCs w:val="18"/>
              </w:rPr>
            </w:pPr>
          </w:p>
        </w:tc>
        <w:tc>
          <w:tcPr>
            <w:tcW w:w="1588" w:type="dxa"/>
            <w:vMerge w:val="continue"/>
            <w:vAlign w:val="center"/>
          </w:tcPr>
          <w:p>
            <w:pPr>
              <w:jc w:val="cente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参保率持续</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水平增长</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用于评价项目资金绩效的后续影响，参保率大于等于0%得4分，低于0%不得分。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66" w:type="dxa"/>
            <w:vMerge w:val="continue"/>
          </w:tcPr>
          <w:p>
            <w:pPr>
              <w:rPr>
                <w:rFonts w:hint="eastAsia" w:ascii="宋体" w:hAnsi="宋体" w:eastAsia="宋体" w:cs="宋体"/>
                <w:kern w:val="0"/>
                <w:sz w:val="18"/>
                <w:szCs w:val="18"/>
              </w:rPr>
            </w:pPr>
          </w:p>
        </w:tc>
        <w:tc>
          <w:tcPr>
            <w:tcW w:w="1588"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满意度</w:t>
            </w:r>
          </w:p>
          <w:p>
            <w:pPr>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（6分）</w:t>
            </w:r>
          </w:p>
          <w:p>
            <w:pPr>
              <w:jc w:val="center"/>
              <w:rPr>
                <w:rFonts w:hint="eastAsia" w:ascii="宋体" w:hAnsi="宋体" w:eastAsia="宋体" w:cs="宋体"/>
                <w:kern w:val="0"/>
                <w:sz w:val="18"/>
                <w:szCs w:val="18"/>
              </w:rPr>
            </w:pPr>
          </w:p>
        </w:tc>
        <w:tc>
          <w:tcPr>
            <w:tcW w:w="1520"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社会公众</w:t>
            </w:r>
          </w:p>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满意度</w:t>
            </w:r>
          </w:p>
          <w:p>
            <w:pPr>
              <w:pStyle w:val="12"/>
              <w:ind w:firstLine="360" w:firstLineChars="200"/>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（6分）</w:t>
            </w:r>
          </w:p>
        </w:tc>
        <w:tc>
          <w:tcPr>
            <w:tcW w:w="3348"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采取社会调查的方式对社会公众服务对象对履职效果的满意程度。</w:t>
            </w:r>
          </w:p>
          <w:p>
            <w:pPr>
              <w:widowControl/>
              <w:jc w:val="left"/>
              <w:rPr>
                <w:rFonts w:hint="eastAsia" w:ascii="宋体" w:hAnsi="宋体" w:eastAsia="宋体" w:cs="宋体"/>
                <w:kern w:val="0"/>
                <w:sz w:val="18"/>
                <w:szCs w:val="18"/>
              </w:rPr>
            </w:pPr>
            <w:r>
              <w:rPr>
                <w:rFonts w:hint="eastAsia" w:ascii="宋体" w:hAnsi="宋体" w:eastAsia="宋体" w:cs="宋体"/>
                <w:sz w:val="18"/>
                <w:szCs w:val="18"/>
                <w:lang w:eastAsia="zh-CN"/>
              </w:rPr>
              <w:t>满</w:t>
            </w:r>
            <w:r>
              <w:rPr>
                <w:rFonts w:hint="eastAsia" w:ascii="宋体" w:hAnsi="宋体" w:eastAsia="宋体" w:cs="宋体"/>
                <w:sz w:val="18"/>
                <w:szCs w:val="18"/>
              </w:rPr>
              <w:t>意度达95%</w:t>
            </w:r>
            <w:r>
              <w:rPr>
                <w:rFonts w:hint="eastAsia" w:ascii="宋体" w:hAnsi="宋体" w:eastAsia="宋体" w:cs="宋体"/>
                <w:sz w:val="18"/>
                <w:szCs w:val="18"/>
                <w:lang w:eastAsia="zh-CN"/>
              </w:rPr>
              <w:t>的</w:t>
            </w:r>
            <w:r>
              <w:rPr>
                <w:rFonts w:hint="eastAsia" w:ascii="宋体" w:hAnsi="宋体" w:eastAsia="宋体" w:cs="宋体"/>
                <w:sz w:val="18"/>
                <w:szCs w:val="18"/>
              </w:rPr>
              <w:t>满分，减少5个百分点扣1分，直至扣完该项得分。</w:t>
            </w:r>
          </w:p>
        </w:tc>
        <w:tc>
          <w:tcPr>
            <w:tcW w:w="10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sz w:val="18"/>
                <w:szCs w:val="18"/>
              </w:rPr>
            </w:pPr>
          </w:p>
          <w:p>
            <w:pPr>
              <w:pStyle w:val="12"/>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w:t>
            </w:r>
          </w:p>
          <w:p>
            <w:pPr>
              <w:pStyle w:val="12"/>
              <w:ind w:firstLine="360" w:firstLineChars="200"/>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22" w:type="dxa"/>
            <w:gridSpan w:val="4"/>
          </w:tcPr>
          <w:p>
            <w:pPr>
              <w:widowControl/>
              <w:ind w:left="210" w:leftChars="100"/>
              <w:jc w:val="center"/>
              <w:rPr>
                <w:rFonts w:hint="eastAsia" w:ascii="宋体" w:hAnsi="宋体" w:eastAsia="宋体" w:cs="宋体"/>
                <w:kern w:val="0"/>
                <w:sz w:val="21"/>
                <w:szCs w:val="21"/>
                <w:lang w:val="en-US" w:eastAsia="zh-CN" w:bidi="ar"/>
              </w:rPr>
            </w:pPr>
          </w:p>
          <w:p>
            <w:pPr>
              <w:widowControl/>
              <w:ind w:left="210" w:leftChars="100"/>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lang w:val="en-US" w:eastAsia="zh-CN" w:bidi="ar"/>
              </w:rPr>
              <w:t>分 值</w:t>
            </w:r>
          </w:p>
        </w:tc>
        <w:tc>
          <w:tcPr>
            <w:tcW w:w="1095" w:type="dxa"/>
            <w:tcBorders>
              <w:top w:val="single" w:color="auto" w:sz="4" w:space="0"/>
              <w:left w:val="single" w:color="auto" w:sz="4" w:space="0"/>
              <w:bottom w:val="single" w:color="auto" w:sz="4" w:space="0"/>
              <w:right w:val="single" w:color="auto" w:sz="4" w:space="0"/>
            </w:tcBorders>
          </w:tcPr>
          <w:p>
            <w:pPr>
              <w:ind w:left="210" w:leftChars="100"/>
              <w:jc w:val="center"/>
              <w:rPr>
                <w:rFonts w:hint="eastAsia" w:ascii="宋体" w:hAnsi="宋体" w:eastAsia="宋体" w:cs="宋体"/>
                <w:kern w:val="0"/>
                <w:sz w:val="24"/>
                <w:szCs w:val="24"/>
                <w:lang w:val="en-US" w:eastAsia="zh-CN"/>
              </w:rPr>
            </w:pPr>
          </w:p>
          <w:p>
            <w:pPr>
              <w:ind w:left="210" w:leftChars="100"/>
              <w:jc w:val="center"/>
              <w:rPr>
                <w:rFonts w:hint="default" w:ascii="宋体" w:hAnsi="宋体" w:eastAsia="宋体" w:cs="宋体"/>
                <w:kern w:val="0"/>
                <w:sz w:val="24"/>
                <w:szCs w:val="24"/>
                <w:lang w:val="en-US" w:eastAsia="zh-CN"/>
              </w:rPr>
            </w:pPr>
            <w:r>
              <w:rPr>
                <w:rFonts w:hint="eastAsia" w:ascii="宋体" w:hAnsi="宋体" w:eastAsia="宋体" w:cs="宋体"/>
                <w:kern w:val="0"/>
                <w:sz w:val="21"/>
                <w:szCs w:val="21"/>
                <w:lang w:val="en-US" w:eastAsia="zh-CN"/>
              </w:rPr>
              <w:t>100</w:t>
            </w:r>
          </w:p>
        </w:tc>
      </w:tr>
    </w:tbl>
    <w:p>
      <w:pPr>
        <w:spacing w:before="312" w:beforeLines="100" w:after="156" w:afterLines="50" w:line="360" w:lineRule="auto"/>
        <w:jc w:val="left"/>
        <w:outlineLvl w:val="0"/>
        <w:rPr>
          <w:rFonts w:ascii="Times New Roman" w:hAnsi="宋体" w:eastAsia="宋体" w:cs="宋体"/>
          <w:b/>
          <w:bCs/>
          <w:sz w:val="32"/>
          <w:szCs w:val="28"/>
        </w:rPr>
      </w:pPr>
      <w:bookmarkStart w:id="150" w:name="_Toc8219"/>
      <w:r>
        <w:rPr>
          <w:rFonts w:hint="eastAsia" w:ascii="Times New Roman" w:hAnsi="宋体" w:eastAsia="宋体" w:cs="宋体"/>
          <w:b/>
          <w:bCs/>
          <w:sz w:val="32"/>
          <w:szCs w:val="28"/>
        </w:rPr>
        <w:t>四、绩效评价指标分析</w:t>
      </w:r>
      <w:bookmarkEnd w:id="150"/>
    </w:p>
    <w:p>
      <w:pPr>
        <w:spacing w:before="156" w:beforeLines="50" w:line="360" w:lineRule="auto"/>
        <w:jc w:val="left"/>
        <w:outlineLvl w:val="1"/>
        <w:rPr>
          <w:rFonts w:ascii="Times New Roman" w:hAnsi="宋体" w:eastAsia="宋体" w:cs="宋体"/>
          <w:b/>
          <w:bCs/>
          <w:sz w:val="30"/>
          <w:szCs w:val="28"/>
        </w:rPr>
      </w:pPr>
      <w:bookmarkStart w:id="151" w:name="_Toc24385"/>
      <w:r>
        <w:rPr>
          <w:rFonts w:hint="eastAsia" w:ascii="Times New Roman" w:hAnsi="宋体" w:eastAsia="宋体" w:cs="宋体"/>
          <w:b/>
          <w:bCs/>
          <w:sz w:val="30"/>
          <w:szCs w:val="28"/>
        </w:rPr>
        <w:t>（一）项目投入情况（权重为20%，得分19分</w:t>
      </w:r>
      <w:r>
        <w:rPr>
          <w:rFonts w:hint="eastAsia" w:ascii="Times New Roman" w:hAnsi="宋体" w:eastAsia="宋体" w:cs="宋体"/>
          <w:b/>
          <w:bCs/>
          <w:sz w:val="30"/>
          <w:szCs w:val="28"/>
          <w:lang w:eastAsia="zh-CN"/>
        </w:rPr>
        <w:t>）</w:t>
      </w:r>
      <w:bookmarkEnd w:id="151"/>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投入指标20分，包括项目立项6分、绩效目标6分和资金投入8分等三个二级指标和六个三级指标，主要体现项目立项、绩效目标设置、资金落实投入情况。</w:t>
      </w:r>
    </w:p>
    <w:p>
      <w:pPr>
        <w:spacing w:line="360" w:lineRule="auto"/>
        <w:jc w:val="left"/>
        <w:outlineLvl w:val="2"/>
        <w:rPr>
          <w:rFonts w:ascii="Times New Roman" w:hAnsi="宋体" w:eastAsia="宋体" w:cs="宋体"/>
          <w:b/>
          <w:bCs/>
          <w:sz w:val="28"/>
          <w:szCs w:val="28"/>
        </w:rPr>
      </w:pPr>
      <w:bookmarkStart w:id="152" w:name="_Toc9951"/>
      <w:r>
        <w:rPr>
          <w:rFonts w:hint="eastAsia" w:ascii="Times New Roman" w:hAnsi="宋体" w:eastAsia="宋体" w:cs="宋体"/>
          <w:b/>
          <w:bCs/>
          <w:sz w:val="28"/>
          <w:szCs w:val="28"/>
        </w:rPr>
        <w:t>1.项目立项（分值为6分）</w:t>
      </w:r>
      <w:bookmarkEnd w:id="152"/>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项目立项主要从“立项依据充分性”和“立项程序规范性”两方面进行评价。</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（1）立项依据充分性（分值为3分）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“立项依据充分性”指标用于评价项目立项是否符合法律法规、相关政策、发展规划以及部门职责，立项依据是否充分，用以反映和考核项目立项依据情况。</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经评价小组调研，2022年度德化县城乡居民基本养老保险补助专项资金依据《德化县人民政府关于完善德化县城乡居民基本养老保险的实施意见》（德政〔2014〕367号）、《福建省人民政府关于完善城乡居民基本养老保险制度的实施意见》（闽政〔2014〕49号）。立项符合国家法律法规、国民经济发展规划和相关政策且项目立项，与德化县人社局职责范围相符，属于部门履职所需。根据评分标准，此项得3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（2）立项程序规范性（分值为3分）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“立项程序规范性”用于评价项目是否按照规定的程序申请设立</w:t>
      </w:r>
      <w:r>
        <w:rPr>
          <w:rFonts w:hint="eastAsia" w:ascii="Times New Roman" w:hAnsi="宋体" w:eastAsia="宋体" w:cs="宋体"/>
          <w:sz w:val="28"/>
          <w:szCs w:val="28"/>
          <w:lang w:eastAsia="zh-CN"/>
        </w:rPr>
        <w:t>；</w:t>
      </w:r>
      <w:r>
        <w:rPr>
          <w:rFonts w:hint="eastAsia" w:ascii="Times New Roman" w:hAnsi="宋体" w:eastAsia="宋体" w:cs="宋体"/>
          <w:sz w:val="28"/>
          <w:szCs w:val="28"/>
        </w:rPr>
        <w:t xml:space="preserve"> 审批文件、材料是否符合相关要求</w:t>
      </w:r>
      <w:r>
        <w:rPr>
          <w:rFonts w:hint="eastAsia" w:ascii="Times New Roman" w:hAnsi="宋体" w:eastAsia="宋体" w:cs="宋体"/>
          <w:sz w:val="28"/>
          <w:szCs w:val="28"/>
          <w:lang w:eastAsia="zh-CN"/>
        </w:rPr>
        <w:t>；</w:t>
      </w:r>
      <w:r>
        <w:rPr>
          <w:rFonts w:hint="eastAsia" w:ascii="Times New Roman" w:hAnsi="宋体" w:eastAsia="宋体" w:cs="宋体"/>
          <w:sz w:val="28"/>
          <w:szCs w:val="28"/>
        </w:rPr>
        <w:t xml:space="preserve"> 事前是否已经过必要的可行性研究、专家论证、风险评估、绩效评估、集体决策。反映项目立项程序是否规范。</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经评价小组调研，2022年度德化县城乡居民基本养老保险补助按照规定的程序申请立项，所提交的《财政对城乡居民基本养老保险基金的补助项目绩效目标表》及《城乡居民基本养老保险省级补助资金项目绩效目标表》等材料符合《国务院关于建立统一的城乡居民基本养老保险制度的意见》（国发〔2014〕8号）、《福建省人民政府关于完善城乡居民基本养老保险制度的实施意见》（闽政〔2014〕49号）等文件精神的相关要求。事前已经过必要的可行性研究、专家论证、风险评估、集体决策等。根据评分标准，此项得3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因此，项目立项合计得6分。</w:t>
      </w:r>
    </w:p>
    <w:p>
      <w:pPr>
        <w:spacing w:line="360" w:lineRule="auto"/>
        <w:jc w:val="left"/>
        <w:outlineLvl w:val="2"/>
        <w:rPr>
          <w:rFonts w:ascii="Times New Roman" w:hAnsi="宋体" w:eastAsia="宋体" w:cs="宋体"/>
          <w:b/>
          <w:bCs/>
          <w:sz w:val="28"/>
          <w:szCs w:val="28"/>
        </w:rPr>
      </w:pPr>
      <w:bookmarkStart w:id="153" w:name="_Toc22978"/>
      <w:r>
        <w:rPr>
          <w:rFonts w:hint="eastAsia" w:ascii="Times New Roman" w:hAnsi="宋体" w:eastAsia="宋体" w:cs="宋体"/>
          <w:b/>
          <w:bCs/>
          <w:sz w:val="28"/>
          <w:szCs w:val="28"/>
        </w:rPr>
        <w:t>2.绩效目标（分值为6分）</w:t>
      </w:r>
      <w:bookmarkEnd w:id="153"/>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绩效目标主要从“绩效目标时效性”和“绩效目标明确性”两个方面进行评价。</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（1）绩效目标时效性（分值为3分）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“绩效目标时效性”指标用于评价项目实际实施月份是否晚于计划月份的情况。反映和考核项目绩效目标与项目实施时间的相符情况。</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根据德化县人社局提供资料，城乡居民基本养老保险省级补助资金计划年度为2022年度1月至12月，实际实施月份和计划月份相一致，根据评分标准，此项得3分。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（2）绩效目标明确性（分值为3分）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“绩效目标明确性”指标依据绩效目标设定的绩效指标是否清晰、细化、可衡量等，用以反映和考核项目绩效目标的明细化情况。</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根据该项目申报表、季度监控表、绩效自评表中，部分指标能提出清晰、可衡量的指标值。但也存在个别指标设置不合理评价，如，二级指标绩效目标“成本指标”基础养老金月人均发放水平，指标方向是“大于等于”</w:t>
      </w:r>
      <w:r>
        <w:rPr>
          <w:rFonts w:hint="eastAsia" w:ascii="Times New Roman" w:hAnsi="宋体" w:eastAsia="宋体" w:cs="宋体"/>
          <w:sz w:val="28"/>
          <w:szCs w:val="28"/>
          <w:lang w:eastAsia="zh-CN"/>
        </w:rPr>
        <w:t>，</w:t>
      </w:r>
      <w:r>
        <w:rPr>
          <w:rFonts w:hint="eastAsia" w:ascii="Times New Roman" w:hAnsi="宋体" w:eastAsia="宋体" w:cs="宋体"/>
          <w:sz w:val="28"/>
          <w:szCs w:val="28"/>
        </w:rPr>
        <w:t>成本指标方向应为反向指标。根据评分标准，此项扣1分，得2分。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因此，绩效目标合计得5分。</w:t>
      </w:r>
    </w:p>
    <w:p>
      <w:pPr>
        <w:spacing w:line="360" w:lineRule="auto"/>
        <w:jc w:val="left"/>
        <w:outlineLvl w:val="2"/>
        <w:rPr>
          <w:rFonts w:ascii="Times New Roman" w:hAnsi="宋体" w:eastAsia="宋体" w:cs="宋体"/>
          <w:b/>
          <w:bCs/>
          <w:sz w:val="28"/>
          <w:szCs w:val="28"/>
        </w:rPr>
      </w:pPr>
      <w:bookmarkStart w:id="154" w:name="_Toc6420"/>
      <w:r>
        <w:rPr>
          <w:rFonts w:hint="eastAsia" w:ascii="Times New Roman" w:hAnsi="宋体" w:eastAsia="宋体" w:cs="宋体"/>
          <w:b/>
          <w:bCs/>
          <w:sz w:val="28"/>
          <w:szCs w:val="28"/>
        </w:rPr>
        <w:t>3.资金投入（分值为8分）</w:t>
      </w:r>
      <w:bookmarkEnd w:id="154"/>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资金投入主要从“预算编制科学性”和“资金分配合理性”两个方面进行评价。</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（1）预算编制科学性（分值为4分）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“预算编制科学性”评价是否经过科学论证并具备明确的标准同时关注资金额度与年度目标之间是否相适应，以及预算资金量与项目工作任务是否相匹配。用以反映和考核项目预算编制的科学性、合理性情况。</w:t>
      </w:r>
    </w:p>
    <w:p>
      <w:pPr>
        <w:spacing w:line="360" w:lineRule="auto"/>
        <w:ind w:firstLine="560" w:firstLineChars="200"/>
        <w:jc w:val="left"/>
        <w:rPr>
          <w:rFonts w:ascii="Times New Roman" w:hAnsi="宋体" w:eastAsia="宋体" w:cs="宋体"/>
          <w:sz w:val="28"/>
          <w:szCs w:val="28"/>
        </w:rPr>
      </w:pPr>
      <w:r>
        <w:rPr>
          <w:rFonts w:hint="eastAsia" w:ascii="Times New Roman" w:eastAsia="宋体"/>
          <w:sz w:val="28"/>
        </w:rPr>
        <w:t>德化县人社局</w:t>
      </w:r>
      <w:r>
        <w:rPr>
          <w:rFonts w:hint="eastAsia" w:ascii="Times New Roman" w:hAnsi="宋体" w:eastAsia="宋体" w:cs="宋体"/>
          <w:sz w:val="28"/>
          <w:szCs w:val="28"/>
        </w:rPr>
        <w:t>2022年度预算编制根据《中华人民共和国社会保险法</w:t>
      </w:r>
      <w:r>
        <w:rPr>
          <w:rFonts w:hint="eastAsia" w:ascii="Times New Roman" w:hAnsi="宋体" w:eastAsia="宋体" w:cs="宋体"/>
          <w:sz w:val="28"/>
          <w:szCs w:val="28"/>
          <w:lang w:eastAsia="zh-CN"/>
        </w:rPr>
        <w:t>》《</w:t>
      </w:r>
      <w:r>
        <w:rPr>
          <w:rFonts w:hint="eastAsia" w:ascii="Times New Roman" w:hAnsi="宋体" w:eastAsia="宋体" w:cs="宋体"/>
          <w:sz w:val="28"/>
          <w:szCs w:val="28"/>
        </w:rPr>
        <w:t>中华人民共和国预算法》等相关法律法规。合理编制基金预算，强化收支预算执行，资金额度与年度目标之间相适应。根据评分标准，此项得4分。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（2）资金分配合理性（分值为4分）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“资金分配合理性”用于评价资金分配依据是否充分，项目预算资金分配是否有测算依据，与补助单位或地方实际是否相适应，用以反映和考核项目预算资金分配的科学性、合理性情况。</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根据德化县人社局提供资料，城乡居民基本养老保险省级补助的资金分配主要用于确保财政补助资金对16-59周岁参保缴费人员的缴费补贴和60周岁及以上待遇领取人员养老金补助及时到位、足额发放、有效执行。资金分配额度合理，与实际相适应。根据评分标准，此项得4分。</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因此，资金投入合计得8分。</w:t>
      </w:r>
    </w:p>
    <w:bookmarkEnd w:id="145"/>
    <w:bookmarkEnd w:id="146"/>
    <w:bookmarkEnd w:id="147"/>
    <w:bookmarkEnd w:id="148"/>
    <w:p>
      <w:pPr>
        <w:pStyle w:val="2"/>
        <w:spacing w:before="156" w:beforeLines="50" w:after="0" w:line="360" w:lineRule="auto"/>
        <w:ind w:firstLine="0" w:firstLineChars="0"/>
        <w:jc w:val="left"/>
        <w:outlineLvl w:val="1"/>
        <w:rPr>
          <w:rFonts w:ascii="Times New Roman" w:eastAsia="宋体"/>
          <w:b/>
          <w:bCs/>
          <w:sz w:val="30"/>
        </w:rPr>
      </w:pPr>
      <w:bookmarkStart w:id="155" w:name="_Toc13206"/>
      <w:r>
        <w:rPr>
          <w:rFonts w:hint="eastAsia" w:ascii="Times New Roman" w:eastAsia="宋体"/>
          <w:b/>
          <w:bCs/>
          <w:sz w:val="30"/>
        </w:rPr>
        <w:t>（二）项目过程情况（权重为20%</w:t>
      </w:r>
      <w:r>
        <w:rPr>
          <w:rFonts w:hint="eastAsia" w:ascii="Times New Roman" w:eastAsia="宋体"/>
          <w:b/>
          <w:bCs/>
          <w:sz w:val="30"/>
          <w:lang w:eastAsia="zh-CN"/>
        </w:rPr>
        <w:t>，</w:t>
      </w:r>
      <w:r>
        <w:rPr>
          <w:rFonts w:hint="eastAsia" w:ascii="Times New Roman" w:eastAsia="宋体"/>
          <w:b/>
          <w:bCs/>
          <w:sz w:val="30"/>
        </w:rPr>
        <w:t>得分17分）</w:t>
      </w:r>
      <w:bookmarkEnd w:id="155"/>
    </w:p>
    <w:p>
      <w:pPr>
        <w:pStyle w:val="2"/>
        <w:spacing w:after="0" w:line="360" w:lineRule="auto"/>
        <w:ind w:firstLine="560" w:firstLineChars="200"/>
        <w:rPr>
          <w:rFonts w:ascii="Times New Roman" w:eastAsia="宋体"/>
          <w:sz w:val="28"/>
        </w:rPr>
      </w:pPr>
      <w:r>
        <w:rPr>
          <w:rFonts w:hint="eastAsia" w:ascii="Times New Roman" w:eastAsia="宋体"/>
          <w:sz w:val="28"/>
        </w:rPr>
        <w:t>过程指标20分，包括资金管理7分、组织实施8分和财务管理5分等三个二级指标和七个三级指标，主要反映实现绩效目标的监控管理情况和财务管理及项目的组织实施情况。</w:t>
      </w:r>
    </w:p>
    <w:p>
      <w:pPr>
        <w:pStyle w:val="2"/>
        <w:spacing w:after="0" w:line="360" w:lineRule="auto"/>
        <w:ind w:firstLine="0" w:firstLineChars="0"/>
        <w:jc w:val="left"/>
        <w:outlineLvl w:val="2"/>
        <w:rPr>
          <w:rFonts w:ascii="Times New Roman" w:eastAsia="宋体"/>
          <w:b/>
          <w:bCs/>
          <w:sz w:val="28"/>
        </w:rPr>
      </w:pPr>
      <w:bookmarkStart w:id="156" w:name="_Toc31065"/>
      <w:r>
        <w:rPr>
          <w:rFonts w:hint="eastAsia" w:ascii="Times New Roman" w:eastAsia="宋体"/>
          <w:b/>
          <w:bCs/>
          <w:sz w:val="28"/>
        </w:rPr>
        <w:t>1.资金管理（分值为7分）</w:t>
      </w:r>
      <w:bookmarkEnd w:id="156"/>
    </w:p>
    <w:p>
      <w:pPr>
        <w:pStyle w:val="2"/>
        <w:spacing w:after="0" w:line="360" w:lineRule="auto"/>
        <w:ind w:firstLine="560" w:firstLineChars="200"/>
        <w:rPr>
          <w:rFonts w:ascii="Times New Roman" w:eastAsia="宋体"/>
          <w:sz w:val="28"/>
        </w:rPr>
      </w:pPr>
      <w:r>
        <w:rPr>
          <w:rFonts w:hint="eastAsia" w:ascii="Times New Roman" w:eastAsia="宋体"/>
          <w:sz w:val="28"/>
        </w:rPr>
        <w:t>资金管理主要从“资金到位率</w:t>
      </w:r>
      <w:r>
        <w:rPr>
          <w:rFonts w:hint="eastAsia" w:ascii="Times New Roman" w:eastAsia="宋体"/>
          <w:sz w:val="28"/>
          <w:lang w:eastAsia="zh-CN"/>
        </w:rPr>
        <w:t>”“</w:t>
      </w:r>
      <w:r>
        <w:rPr>
          <w:rFonts w:hint="eastAsia" w:ascii="Times New Roman" w:eastAsia="宋体"/>
          <w:sz w:val="28"/>
        </w:rPr>
        <w:t>预算执行率”和“资金使用合规性”三个方面进行评价。</w:t>
      </w:r>
    </w:p>
    <w:p>
      <w:pPr>
        <w:pStyle w:val="2"/>
        <w:spacing w:after="0" w:line="360" w:lineRule="auto"/>
        <w:ind w:firstLine="560" w:firstLineChars="200"/>
        <w:rPr>
          <w:rFonts w:ascii="Times New Roman" w:eastAsia="宋体"/>
          <w:sz w:val="28"/>
        </w:rPr>
      </w:pPr>
      <w:r>
        <w:rPr>
          <w:rFonts w:hint="eastAsia" w:ascii="Times New Roman" w:eastAsia="宋体"/>
          <w:sz w:val="28"/>
        </w:rPr>
        <w:t>（1</w:t>
      </w:r>
      <w:r>
        <w:rPr>
          <w:rFonts w:hint="eastAsia" w:ascii="Times New Roman" w:eastAsia="宋体"/>
          <w:sz w:val="28"/>
          <w:lang w:eastAsia="zh-CN"/>
        </w:rPr>
        <w:t>）</w:t>
      </w:r>
      <w:r>
        <w:rPr>
          <w:rFonts w:hint="eastAsia" w:ascii="Times New Roman" w:eastAsia="宋体"/>
          <w:sz w:val="28"/>
        </w:rPr>
        <w:t>资金到位率（分值为3分）</w:t>
      </w:r>
    </w:p>
    <w:p>
      <w:pPr>
        <w:pStyle w:val="2"/>
        <w:spacing w:after="0" w:line="360" w:lineRule="auto"/>
        <w:ind w:firstLine="560" w:firstLineChars="200"/>
        <w:rPr>
          <w:rFonts w:ascii="Times New Roman" w:eastAsia="宋体"/>
          <w:sz w:val="28"/>
        </w:rPr>
      </w:pPr>
      <w:r>
        <w:rPr>
          <w:rFonts w:hint="eastAsia" w:ascii="Times New Roman" w:eastAsia="宋体"/>
          <w:sz w:val="28"/>
        </w:rPr>
        <w:t>“资金到位率”指标用于说明资金到位情况。资金到位率=（实际到位资金/预算资金）×100%，反映预算资金是否在2022年度内全部及时到位。</w:t>
      </w:r>
    </w:p>
    <w:p>
      <w:pPr>
        <w:pStyle w:val="2"/>
        <w:spacing w:after="0" w:line="360" w:lineRule="auto"/>
        <w:ind w:firstLine="560" w:firstLineChars="200"/>
        <w:rPr>
          <w:rFonts w:ascii="Times New Roman" w:eastAsia="宋体"/>
          <w:sz w:val="28"/>
        </w:rPr>
      </w:pPr>
      <w:r>
        <w:rPr>
          <w:rFonts w:hint="eastAsia" w:ascii="Times New Roman" w:eastAsia="宋体"/>
          <w:sz w:val="28"/>
        </w:rPr>
        <w:t>根据德化县人社局提供的资料所示，2022年度，城乡居民基本养老保险补助专项资金预算资金8071.19万元，实际到位资金8071.19万</w:t>
      </w:r>
      <w:r>
        <w:rPr>
          <w:rFonts w:hint="eastAsia" w:ascii="Times New Roman" w:eastAsia="宋体"/>
          <w:sz w:val="28"/>
          <w:lang w:val="en-US" w:eastAsia="zh-CN"/>
        </w:rPr>
        <w:t>元</w:t>
      </w:r>
      <w:r>
        <w:rPr>
          <w:rFonts w:hint="eastAsia" w:ascii="Times New Roman" w:eastAsia="宋体"/>
          <w:sz w:val="28"/>
        </w:rPr>
        <w:t>。资金到位率100%。根据评分标准，此项得3分。</w:t>
      </w:r>
    </w:p>
    <w:p>
      <w:pPr>
        <w:pStyle w:val="2"/>
        <w:spacing w:after="0" w:line="360" w:lineRule="auto"/>
        <w:ind w:firstLine="560" w:firstLineChars="200"/>
        <w:rPr>
          <w:rFonts w:ascii="Times New Roman" w:eastAsia="宋体"/>
          <w:sz w:val="28"/>
        </w:rPr>
      </w:pPr>
      <w:r>
        <w:rPr>
          <w:rFonts w:hint="eastAsia" w:ascii="Times New Roman" w:eastAsia="宋体"/>
          <w:sz w:val="28"/>
        </w:rPr>
        <w:t>（2）预算执行率（分值为2分）</w:t>
      </w:r>
    </w:p>
    <w:p>
      <w:pPr>
        <w:pStyle w:val="2"/>
        <w:spacing w:after="0" w:line="360" w:lineRule="auto"/>
        <w:ind w:firstLine="560" w:firstLineChars="200"/>
        <w:rPr>
          <w:rFonts w:ascii="Times New Roman" w:eastAsia="宋体"/>
          <w:sz w:val="28"/>
        </w:rPr>
      </w:pPr>
      <w:r>
        <w:rPr>
          <w:rFonts w:hint="eastAsia" w:ascii="Times New Roman" w:eastAsia="宋体"/>
          <w:sz w:val="28"/>
        </w:rPr>
        <w:t>“预算执行率”指标用于衡量资金使用情况，反映预算资金是否按照计划执行。预算执行率=（实际支出资金/实际到位资金）×100%，预算执行率大于等于90%</w:t>
      </w:r>
      <w:r>
        <w:rPr>
          <w:rFonts w:hint="eastAsia" w:ascii="Times New Roman" w:eastAsia="宋体"/>
          <w:sz w:val="28"/>
          <w:lang w:eastAsia="zh-CN"/>
        </w:rPr>
        <w:t>的</w:t>
      </w:r>
      <w:r>
        <w:rPr>
          <w:rFonts w:hint="eastAsia" w:ascii="Times New Roman" w:eastAsia="宋体"/>
          <w:sz w:val="28"/>
        </w:rPr>
        <w:t>满分。</w:t>
      </w:r>
    </w:p>
    <w:p>
      <w:pPr>
        <w:pStyle w:val="2"/>
        <w:spacing w:after="0" w:line="360" w:lineRule="auto"/>
        <w:ind w:firstLine="560" w:firstLineChars="200"/>
        <w:rPr>
          <w:rFonts w:ascii="Times New Roman" w:eastAsia="宋体"/>
          <w:sz w:val="28"/>
        </w:rPr>
      </w:pPr>
      <w:r>
        <w:rPr>
          <w:rFonts w:hint="eastAsia" w:ascii="Times New Roman" w:eastAsia="宋体"/>
          <w:sz w:val="28"/>
        </w:rPr>
        <w:t>根据德化县人社局提供资料所示，2022年度城乡居民基本养老保险补助实际到位资金预算8071.19万元，实际支出7726.79万元。资金执行率=7726.79/8071.19/万元=95.73%。根据评分标准，此项得2分。</w:t>
      </w:r>
    </w:p>
    <w:p>
      <w:pPr>
        <w:pStyle w:val="2"/>
        <w:spacing w:after="0" w:line="360" w:lineRule="auto"/>
        <w:ind w:firstLine="560" w:firstLineChars="200"/>
        <w:rPr>
          <w:rFonts w:ascii="Times New Roman" w:eastAsia="宋体"/>
          <w:sz w:val="28"/>
        </w:rPr>
      </w:pPr>
      <w:r>
        <w:rPr>
          <w:rFonts w:hint="eastAsia" w:ascii="Times New Roman" w:eastAsia="宋体"/>
          <w:sz w:val="28"/>
        </w:rPr>
        <w:t>（3）资金使用合规性（分值为2分）</w:t>
      </w:r>
    </w:p>
    <w:p>
      <w:pPr>
        <w:pStyle w:val="2"/>
        <w:spacing w:after="0" w:line="360" w:lineRule="auto"/>
        <w:ind w:firstLine="560" w:firstLineChars="200"/>
        <w:rPr>
          <w:rFonts w:ascii="Times New Roman" w:eastAsia="宋体"/>
          <w:sz w:val="28"/>
        </w:rPr>
      </w:pPr>
      <w:r>
        <w:rPr>
          <w:rFonts w:hint="eastAsia" w:ascii="Times New Roman" w:eastAsia="宋体"/>
          <w:sz w:val="28"/>
        </w:rPr>
        <w:t>“资金使用合规性”指标用于评价项目资金使用是否符合相关的财务管理制度规定，用以反映和考核项目资金的规范运行情况。</w:t>
      </w:r>
    </w:p>
    <w:p>
      <w:pPr>
        <w:pStyle w:val="2"/>
        <w:spacing w:after="0" w:line="360" w:lineRule="auto"/>
        <w:ind w:firstLine="560" w:firstLineChars="200"/>
        <w:rPr>
          <w:rFonts w:ascii="Times New Roman" w:eastAsia="宋体"/>
          <w:sz w:val="28"/>
        </w:rPr>
      </w:pPr>
      <w:r>
        <w:rPr>
          <w:rFonts w:hint="eastAsia" w:ascii="Times New Roman" w:eastAsia="宋体"/>
          <w:sz w:val="28"/>
        </w:rPr>
        <w:t>经评价小组调研，2022年度德化县城乡居民基本养老保险补助专项资金符合国家财经法规和有关专项资金管理办法的规定。德化县人社局通过国库集中支付将项目资金拨付，符合资金的拨付审批程序和手续。不存在截留、挤占、挪用、虚列支出等情况。根据评分标准，此项得2分。</w:t>
      </w:r>
    </w:p>
    <w:p>
      <w:pPr>
        <w:pStyle w:val="2"/>
        <w:spacing w:after="0" w:line="360" w:lineRule="auto"/>
        <w:ind w:firstLine="560" w:firstLineChars="200"/>
        <w:rPr>
          <w:rFonts w:ascii="Times New Roman" w:eastAsia="宋体"/>
          <w:sz w:val="28"/>
        </w:rPr>
      </w:pPr>
      <w:r>
        <w:rPr>
          <w:rFonts w:hint="eastAsia" w:ascii="Times New Roman" w:eastAsia="宋体"/>
          <w:sz w:val="28"/>
        </w:rPr>
        <w:t>因此，资金管理合计得7分。</w:t>
      </w:r>
    </w:p>
    <w:p>
      <w:pPr>
        <w:pStyle w:val="2"/>
        <w:spacing w:after="0" w:line="360" w:lineRule="auto"/>
        <w:ind w:firstLine="0" w:firstLineChars="0"/>
        <w:jc w:val="left"/>
        <w:outlineLvl w:val="2"/>
        <w:rPr>
          <w:rFonts w:ascii="Times New Roman" w:eastAsia="宋体"/>
          <w:b/>
          <w:sz w:val="28"/>
        </w:rPr>
      </w:pPr>
      <w:bookmarkStart w:id="157" w:name="_Toc19496"/>
      <w:r>
        <w:rPr>
          <w:rFonts w:hint="eastAsia" w:ascii="Times New Roman" w:eastAsia="宋体"/>
          <w:b/>
          <w:sz w:val="28"/>
        </w:rPr>
        <w:t>2.组织实施（分值为8分）</w:t>
      </w:r>
      <w:bookmarkEnd w:id="157"/>
    </w:p>
    <w:p>
      <w:pPr>
        <w:pStyle w:val="2"/>
        <w:spacing w:after="0" w:line="360" w:lineRule="auto"/>
        <w:ind w:firstLine="560" w:firstLineChars="200"/>
        <w:rPr>
          <w:rFonts w:ascii="Times New Roman" w:eastAsia="宋体"/>
          <w:sz w:val="28"/>
        </w:rPr>
      </w:pPr>
      <w:r>
        <w:rPr>
          <w:rFonts w:hint="eastAsia" w:ascii="Times New Roman" w:eastAsia="宋体"/>
          <w:sz w:val="28"/>
        </w:rPr>
        <w:t>组织实施主要从“管理制度健全性</w:t>
      </w:r>
      <w:r>
        <w:rPr>
          <w:rFonts w:hint="eastAsia" w:ascii="Times New Roman" w:eastAsia="宋体"/>
          <w:sz w:val="28"/>
          <w:lang w:eastAsia="zh-CN"/>
        </w:rPr>
        <w:t>”“</w:t>
      </w:r>
      <w:r>
        <w:rPr>
          <w:rFonts w:hint="eastAsia" w:ascii="Times New Roman" w:eastAsia="宋体"/>
          <w:sz w:val="28"/>
        </w:rPr>
        <w:t>制度执行有效性”两个方面进行评价。</w:t>
      </w:r>
    </w:p>
    <w:p>
      <w:pPr>
        <w:pStyle w:val="2"/>
        <w:spacing w:after="0" w:line="360" w:lineRule="auto"/>
        <w:ind w:firstLine="560" w:firstLineChars="200"/>
        <w:rPr>
          <w:rFonts w:ascii="Times New Roman" w:eastAsia="宋体"/>
          <w:sz w:val="28"/>
        </w:rPr>
      </w:pPr>
      <w:r>
        <w:rPr>
          <w:rFonts w:hint="eastAsia" w:ascii="Times New Roman" w:eastAsia="宋体"/>
          <w:sz w:val="28"/>
        </w:rPr>
        <w:t>（1）管理制度健全性（分值为4分）</w:t>
      </w:r>
    </w:p>
    <w:p>
      <w:pPr>
        <w:pStyle w:val="2"/>
        <w:spacing w:after="0" w:line="360" w:lineRule="auto"/>
        <w:ind w:firstLine="560" w:firstLineChars="200"/>
        <w:rPr>
          <w:rFonts w:ascii="Times New Roman" w:eastAsia="宋体"/>
          <w:sz w:val="28"/>
        </w:rPr>
      </w:pPr>
      <w:r>
        <w:rPr>
          <w:rFonts w:hint="eastAsia" w:ascii="Times New Roman" w:eastAsia="宋体"/>
          <w:sz w:val="28"/>
        </w:rPr>
        <w:t>“管理制度健全性”指标用于评价项目实施单位的财务和业务管理制度是否健全，用以反映和考核财务和业务管理制度对项目顺利实施的保障情况。</w:t>
      </w:r>
    </w:p>
    <w:p>
      <w:pPr>
        <w:pStyle w:val="2"/>
        <w:spacing w:after="0" w:line="360" w:lineRule="auto"/>
        <w:ind w:firstLine="560" w:firstLineChars="200"/>
        <w:rPr>
          <w:rFonts w:ascii="Times New Roman" w:eastAsia="宋体"/>
          <w:sz w:val="28"/>
        </w:rPr>
      </w:pPr>
      <w:r>
        <w:rPr>
          <w:rFonts w:hint="eastAsia" w:ascii="Times New Roman" w:eastAsia="宋体"/>
          <w:sz w:val="28"/>
        </w:rPr>
        <w:t>经评价小组调查，为规范社会保险基金财务管理行为，加强基金收支的监督管理，结合德化县情况研究制定贯彻落实《中华人民共和国社会保险法》、遵循的业务管理制度主要包括</w:t>
      </w:r>
      <w:r>
        <w:rPr>
          <w:rFonts w:hint="eastAsia" w:ascii="Times New Roman" w:eastAsia="宋体"/>
          <w:sz w:val="28"/>
          <w:lang w:eastAsia="zh-CN"/>
        </w:rPr>
        <w:t>《</w:t>
      </w:r>
      <w:r>
        <w:rPr>
          <w:rFonts w:hint="eastAsia" w:ascii="Times New Roman" w:eastAsia="宋体"/>
          <w:sz w:val="28"/>
        </w:rPr>
        <w:t>福建省人民政府关于完善城乡居民基本养老制度的实施意见》</w:t>
      </w:r>
      <w:r>
        <w:rPr>
          <w:rFonts w:hint="eastAsia" w:ascii="Times New Roman" w:eastAsia="宋体"/>
          <w:sz w:val="28"/>
          <w:lang w:eastAsia="zh-CN"/>
        </w:rPr>
        <w:t>（</w:t>
      </w:r>
      <w:r>
        <w:rPr>
          <w:rFonts w:hint="eastAsia" w:ascii="Times New Roman" w:eastAsia="宋体"/>
          <w:sz w:val="28"/>
        </w:rPr>
        <w:t>闽政〔2014〕49号</w:t>
      </w:r>
      <w:r>
        <w:rPr>
          <w:rFonts w:hint="eastAsia" w:ascii="Times New Roman" w:eastAsia="宋体"/>
          <w:sz w:val="28"/>
          <w:lang w:eastAsia="zh-CN"/>
        </w:rPr>
        <w:t>）</w:t>
      </w:r>
      <w:r>
        <w:rPr>
          <w:rFonts w:hint="eastAsia" w:ascii="Times New Roman" w:eastAsia="宋体"/>
          <w:sz w:val="28"/>
        </w:rPr>
        <w:t>、《德化县人民政府关于完善城乡居民基本养老制度的实施意见》（德政〔2014〕367号）及《德化县城乡居民社会养老保险基金财务管理暂行办法》等文件规定。上述文件对参保基础数据核实、参保登记、养老金发放等问题都</w:t>
      </w:r>
      <w:r>
        <w:rPr>
          <w:rFonts w:hint="eastAsia" w:ascii="Times New Roman" w:eastAsia="宋体"/>
          <w:sz w:val="28"/>
          <w:lang w:eastAsia="zh-CN"/>
        </w:rPr>
        <w:t>作出</w:t>
      </w:r>
      <w:r>
        <w:rPr>
          <w:rFonts w:hint="eastAsia" w:ascii="Times New Roman" w:eastAsia="宋体"/>
          <w:sz w:val="28"/>
        </w:rPr>
        <w:t>了明确规定。符合国家财经法规和财务管理制度以及有关专项资金管理办法的规定具备合法、合规、完整的财务和业务管理制度。此项得分4分。</w:t>
      </w:r>
    </w:p>
    <w:p>
      <w:pPr>
        <w:pStyle w:val="2"/>
        <w:spacing w:after="0" w:line="360" w:lineRule="auto"/>
        <w:ind w:firstLine="560" w:firstLineChars="200"/>
        <w:rPr>
          <w:rFonts w:ascii="Times New Roman" w:eastAsia="宋体"/>
          <w:sz w:val="28"/>
        </w:rPr>
      </w:pPr>
      <w:r>
        <w:rPr>
          <w:rFonts w:hint="eastAsia" w:ascii="Times New Roman" w:eastAsia="宋体"/>
          <w:sz w:val="28"/>
        </w:rPr>
        <w:t>（2）制度执行有效性（分值为4分）</w:t>
      </w:r>
    </w:p>
    <w:p>
      <w:pPr>
        <w:pStyle w:val="2"/>
        <w:spacing w:after="0" w:line="360" w:lineRule="auto"/>
        <w:ind w:firstLine="560" w:firstLineChars="200"/>
        <w:rPr>
          <w:rFonts w:ascii="Times New Roman" w:eastAsia="宋体"/>
          <w:sz w:val="28"/>
        </w:rPr>
      </w:pPr>
      <w:r>
        <w:rPr>
          <w:rFonts w:hint="eastAsia" w:ascii="Times New Roman" w:eastAsia="宋体"/>
          <w:sz w:val="28"/>
        </w:rPr>
        <w:t>“制度执行有效性”指标用于评价项目实施是否符合相关管理规定，项目调整及支出手续是否完备，各项资料是否及时归档，用以反映和考核相关管理制度的有效执行及基金运行管理等情况。</w:t>
      </w:r>
    </w:p>
    <w:p>
      <w:pPr>
        <w:pStyle w:val="2"/>
        <w:spacing w:after="0" w:line="360" w:lineRule="auto"/>
        <w:ind w:firstLine="560" w:firstLineChars="200"/>
        <w:rPr>
          <w:rFonts w:ascii="Times New Roman" w:eastAsia="宋体"/>
          <w:sz w:val="28"/>
        </w:rPr>
      </w:pPr>
      <w:r>
        <w:rPr>
          <w:rFonts w:hint="eastAsia" w:ascii="Times New Roman" w:eastAsia="宋体"/>
          <w:sz w:val="28"/>
        </w:rPr>
        <w:t>经评价组查阅相关的材料和对负责人的座谈，重点检查基金筹集、使用、运行管理等情况。2022年度，德化县人社局贯彻执行国家法律法规和方针政策，依法筹集和使用基金，应收尽收和社会保险待遇按时足额发放，并严格编制基金决算，各项资料能够做到及时归档。但也存在数据信息比对重复，执行不到位情况。如，2022存在城乡居</w:t>
      </w:r>
      <w:r>
        <w:rPr>
          <w:rFonts w:hint="eastAsia" w:ascii="Times New Roman" w:eastAsia="宋体"/>
          <w:sz w:val="28"/>
          <w:lang w:val="en-US" w:eastAsia="zh-CN"/>
        </w:rPr>
        <w:t>民</w:t>
      </w:r>
      <w:r>
        <w:rPr>
          <w:rFonts w:hint="eastAsia" w:ascii="Times New Roman" w:eastAsia="宋体"/>
          <w:sz w:val="28"/>
        </w:rPr>
        <w:t>养老保险待遇多发放22人，</w:t>
      </w:r>
      <w:r>
        <w:rPr>
          <w:rFonts w:hint="eastAsia" w:ascii="Times New Roman" w:eastAsia="宋体"/>
          <w:sz w:val="28"/>
          <w:lang w:val="en-US" w:eastAsia="zh-CN"/>
        </w:rPr>
        <w:t>多发放</w:t>
      </w:r>
      <w:r>
        <w:rPr>
          <w:rFonts w:hint="eastAsia" w:ascii="Times New Roman" w:eastAsia="宋体"/>
          <w:sz w:val="28"/>
        </w:rPr>
        <w:t>金额26127.45元的情况。根据评分标准，此项扣分1分，得3分。</w:t>
      </w:r>
    </w:p>
    <w:p>
      <w:pPr>
        <w:pStyle w:val="2"/>
        <w:spacing w:after="0" w:line="360" w:lineRule="auto"/>
        <w:ind w:firstLine="560" w:firstLineChars="200"/>
        <w:rPr>
          <w:rFonts w:ascii="Times New Roman" w:eastAsia="宋体"/>
          <w:sz w:val="28"/>
        </w:rPr>
      </w:pPr>
      <w:r>
        <w:rPr>
          <w:rFonts w:hint="eastAsia" w:ascii="Times New Roman" w:eastAsia="宋体"/>
          <w:sz w:val="28"/>
        </w:rPr>
        <w:t>因此，组织实施得分7分。</w:t>
      </w:r>
    </w:p>
    <w:p>
      <w:pPr>
        <w:pStyle w:val="2"/>
        <w:spacing w:after="0" w:line="360" w:lineRule="auto"/>
        <w:ind w:firstLine="0" w:firstLineChars="0"/>
        <w:jc w:val="left"/>
        <w:outlineLvl w:val="2"/>
        <w:rPr>
          <w:rFonts w:ascii="Times New Roman" w:eastAsia="宋体"/>
          <w:b/>
          <w:sz w:val="28"/>
        </w:rPr>
      </w:pPr>
      <w:bookmarkStart w:id="158" w:name="_Toc31652"/>
      <w:r>
        <w:rPr>
          <w:rFonts w:hint="eastAsia" w:ascii="Times New Roman" w:eastAsia="宋体"/>
          <w:b/>
          <w:sz w:val="28"/>
        </w:rPr>
        <w:t>3.财务管理（分值为5分）</w:t>
      </w:r>
      <w:bookmarkEnd w:id="158"/>
    </w:p>
    <w:p>
      <w:pPr>
        <w:pStyle w:val="2"/>
        <w:spacing w:after="0" w:line="360" w:lineRule="auto"/>
        <w:ind w:firstLine="560" w:firstLineChars="200"/>
        <w:rPr>
          <w:rFonts w:ascii="Times New Roman" w:eastAsia="宋体"/>
          <w:sz w:val="28"/>
        </w:rPr>
      </w:pPr>
      <w:r>
        <w:rPr>
          <w:rFonts w:hint="eastAsia" w:ascii="Times New Roman" w:eastAsia="宋体"/>
          <w:sz w:val="28"/>
        </w:rPr>
        <w:t>财务管理主要从“财务监控有效性”和“绩效自评合规性”两个方面进行评价。</w:t>
      </w:r>
    </w:p>
    <w:p>
      <w:pPr>
        <w:pStyle w:val="2"/>
        <w:spacing w:after="0" w:line="360" w:lineRule="auto"/>
        <w:ind w:firstLine="560" w:firstLineChars="200"/>
        <w:rPr>
          <w:rFonts w:ascii="Times New Roman" w:eastAsia="宋体"/>
          <w:sz w:val="28"/>
        </w:rPr>
      </w:pPr>
      <w:r>
        <w:rPr>
          <w:rFonts w:hint="eastAsia" w:ascii="Times New Roman" w:eastAsia="宋体"/>
          <w:sz w:val="28"/>
        </w:rPr>
        <w:t>（1）财务监控有效性（分值为2分）</w:t>
      </w:r>
    </w:p>
    <w:p>
      <w:pPr>
        <w:pStyle w:val="2"/>
        <w:spacing w:after="0" w:line="360" w:lineRule="auto"/>
        <w:ind w:firstLine="560" w:firstLineChars="200"/>
        <w:rPr>
          <w:rFonts w:ascii="Times New Roman" w:eastAsia="宋体"/>
          <w:sz w:val="28"/>
        </w:rPr>
      </w:pPr>
      <w:r>
        <w:rPr>
          <w:rFonts w:hint="eastAsia" w:ascii="Times New Roman" w:eastAsia="宋体"/>
          <w:sz w:val="28"/>
        </w:rPr>
        <w:t>“财务监控有效性”指标是衡量项目监控过程的情况，是否已制定或具有相应的监控机制</w:t>
      </w:r>
      <w:r>
        <w:rPr>
          <w:rFonts w:hint="eastAsia" w:ascii="Times New Roman" w:eastAsia="宋体"/>
          <w:sz w:val="28"/>
          <w:lang w:eastAsia="zh-CN"/>
        </w:rPr>
        <w:t>，</w:t>
      </w:r>
      <w:r>
        <w:rPr>
          <w:rFonts w:hint="eastAsia" w:ascii="Times New Roman" w:eastAsia="宋体"/>
          <w:sz w:val="28"/>
        </w:rPr>
        <w:t>是否采取了相应的财务检查等必要的监控措施或手段。</w:t>
      </w:r>
    </w:p>
    <w:p>
      <w:pPr>
        <w:pStyle w:val="2"/>
        <w:spacing w:after="0" w:line="360" w:lineRule="auto"/>
        <w:ind w:firstLine="560" w:firstLineChars="200"/>
        <w:rPr>
          <w:rFonts w:ascii="Times New Roman" w:eastAsia="宋体"/>
          <w:sz w:val="28"/>
        </w:rPr>
      </w:pPr>
      <w:r>
        <w:rPr>
          <w:rFonts w:hint="eastAsia" w:ascii="Times New Roman" w:eastAsia="宋体"/>
          <w:sz w:val="28"/>
        </w:rPr>
        <w:t>评价组</w:t>
      </w:r>
      <w:r>
        <w:rPr>
          <w:rFonts w:hint="eastAsia" w:ascii="Times New Roman" w:eastAsia="宋体"/>
          <w:sz w:val="28"/>
          <w:lang w:val="en-US" w:eastAsia="zh-CN"/>
        </w:rPr>
        <w:t>查阅</w:t>
      </w:r>
      <w:r>
        <w:rPr>
          <w:rFonts w:hint="eastAsia" w:ascii="Times New Roman" w:eastAsia="宋体"/>
          <w:sz w:val="28"/>
        </w:rPr>
        <w:t>德化县人社局提供的绩效目标申报表和绩效监控表，能够对偏离绩效目标的项目采取措施及时纠正。对绩效目标运行监控，并按规定公开预算绩效目标和绩效评价结果等信息，根据评分标准，此项得分2分。</w:t>
      </w:r>
    </w:p>
    <w:p>
      <w:pPr>
        <w:pStyle w:val="2"/>
        <w:spacing w:after="0" w:line="360" w:lineRule="auto"/>
        <w:ind w:firstLine="560" w:firstLineChars="200"/>
        <w:rPr>
          <w:rFonts w:ascii="Times New Roman" w:eastAsia="宋体"/>
          <w:sz w:val="28"/>
        </w:rPr>
      </w:pPr>
      <w:r>
        <w:rPr>
          <w:rFonts w:hint="eastAsia" w:ascii="Times New Roman" w:eastAsia="宋体"/>
          <w:sz w:val="28"/>
        </w:rPr>
        <w:t>（2）绩效自评合规性（分值为3分）</w:t>
      </w:r>
    </w:p>
    <w:p>
      <w:pPr>
        <w:pStyle w:val="2"/>
        <w:spacing w:after="0" w:line="360" w:lineRule="auto"/>
        <w:ind w:firstLine="560" w:firstLineChars="200"/>
        <w:rPr>
          <w:rFonts w:ascii="Times New Roman" w:eastAsia="宋体"/>
          <w:sz w:val="28"/>
        </w:rPr>
      </w:pPr>
      <w:r>
        <w:rPr>
          <w:rFonts w:hint="eastAsia" w:ascii="Times New Roman" w:eastAsia="宋体"/>
          <w:sz w:val="28"/>
        </w:rPr>
        <w:t>“绩效自评合规性”指标用于评价衡量项目是否按要求开展绩效自评工作，反映绩效自评报告是否报送及时。</w:t>
      </w:r>
    </w:p>
    <w:p>
      <w:pPr>
        <w:pStyle w:val="2"/>
        <w:spacing w:after="0" w:line="360" w:lineRule="auto"/>
        <w:ind w:firstLine="560" w:firstLineChars="200"/>
        <w:rPr>
          <w:rFonts w:ascii="Times New Roman" w:eastAsia="宋体"/>
          <w:sz w:val="28"/>
        </w:rPr>
      </w:pPr>
      <w:r>
        <w:rPr>
          <w:rFonts w:hint="eastAsia" w:ascii="Times New Roman" w:eastAsia="宋体"/>
          <w:sz w:val="28"/>
        </w:rPr>
        <w:t>经评价小组核实，德化县人社局存在未向下属城乡居民保中心派发自评报告任务，导致2022年度未及时向德化县财政局报送专项资金自评报告。根据评分标准，该项扣2分，得分1分。</w:t>
      </w:r>
    </w:p>
    <w:p>
      <w:pPr>
        <w:pStyle w:val="2"/>
        <w:spacing w:after="0" w:line="360" w:lineRule="auto"/>
        <w:ind w:firstLine="560" w:firstLineChars="200"/>
        <w:rPr>
          <w:rFonts w:ascii="Times New Roman" w:eastAsia="宋体"/>
          <w:sz w:val="28"/>
        </w:rPr>
      </w:pPr>
      <w:r>
        <w:rPr>
          <w:rFonts w:hint="eastAsia" w:ascii="Times New Roman" w:eastAsia="宋体"/>
          <w:sz w:val="28"/>
        </w:rPr>
        <w:t>因此，财务管理得分3分。</w:t>
      </w:r>
    </w:p>
    <w:p>
      <w:pPr>
        <w:pStyle w:val="2"/>
        <w:spacing w:before="156" w:beforeLines="50" w:after="0" w:line="360" w:lineRule="auto"/>
        <w:ind w:firstLine="0" w:firstLineChars="0"/>
        <w:jc w:val="left"/>
        <w:outlineLvl w:val="1"/>
        <w:rPr>
          <w:rFonts w:ascii="Times New Roman" w:eastAsia="宋体"/>
          <w:b/>
          <w:sz w:val="30"/>
        </w:rPr>
      </w:pPr>
      <w:bookmarkStart w:id="159" w:name="_Toc30946"/>
      <w:r>
        <w:rPr>
          <w:rFonts w:hint="eastAsia" w:ascii="Times New Roman" w:eastAsia="宋体"/>
          <w:b/>
          <w:sz w:val="30"/>
        </w:rPr>
        <w:t>（三）项目产出情况（权重为30%，得分28分）</w:t>
      </w:r>
      <w:bookmarkEnd w:id="159"/>
    </w:p>
    <w:p>
      <w:pPr>
        <w:pStyle w:val="2"/>
        <w:spacing w:after="0" w:line="360" w:lineRule="auto"/>
        <w:ind w:firstLine="560" w:firstLineChars="200"/>
        <w:rPr>
          <w:rFonts w:ascii="Times New Roman" w:eastAsia="宋体"/>
          <w:sz w:val="28"/>
        </w:rPr>
      </w:pPr>
      <w:r>
        <w:rPr>
          <w:rFonts w:hint="eastAsia" w:ascii="Times New Roman" w:eastAsia="宋体"/>
          <w:sz w:val="28"/>
        </w:rPr>
        <w:t>产出指标30分，包括产出数量12分、产出质量12分产出时效3分和产出成本3分等4个二级指标和</w:t>
      </w:r>
      <w:r>
        <w:rPr>
          <w:rFonts w:hint="eastAsia" w:ascii="Times New Roman" w:eastAsia="宋体"/>
          <w:sz w:val="28"/>
          <w:lang w:val="en-US" w:eastAsia="zh-CN"/>
        </w:rPr>
        <w:t>8</w:t>
      </w:r>
      <w:r>
        <w:rPr>
          <w:rFonts w:hint="eastAsia" w:ascii="Times New Roman" w:eastAsia="宋体"/>
          <w:sz w:val="28"/>
        </w:rPr>
        <w:t>个三级指标，主要反映项目产出情况。</w:t>
      </w:r>
    </w:p>
    <w:p>
      <w:pPr>
        <w:pStyle w:val="2"/>
        <w:spacing w:after="0" w:line="360" w:lineRule="auto"/>
        <w:ind w:firstLine="0" w:firstLineChars="0"/>
        <w:jc w:val="left"/>
        <w:outlineLvl w:val="2"/>
        <w:rPr>
          <w:rFonts w:ascii="Times New Roman" w:eastAsia="宋体"/>
          <w:b/>
          <w:sz w:val="28"/>
        </w:rPr>
      </w:pPr>
      <w:bookmarkStart w:id="160" w:name="_Toc5060"/>
      <w:r>
        <w:rPr>
          <w:rFonts w:hint="eastAsia" w:ascii="Times New Roman" w:eastAsia="宋体"/>
          <w:b/>
          <w:sz w:val="28"/>
        </w:rPr>
        <w:t>1.产出数量（分值为12分）</w:t>
      </w:r>
      <w:bookmarkEnd w:id="160"/>
    </w:p>
    <w:p>
      <w:pPr>
        <w:pStyle w:val="2"/>
        <w:spacing w:after="0" w:line="360" w:lineRule="auto"/>
        <w:ind w:firstLine="560" w:firstLineChars="200"/>
        <w:rPr>
          <w:rFonts w:ascii="Times New Roman" w:eastAsia="宋体"/>
          <w:sz w:val="28"/>
        </w:rPr>
      </w:pPr>
      <w:r>
        <w:rPr>
          <w:rFonts w:hint="eastAsia" w:ascii="Times New Roman" w:eastAsia="宋体"/>
          <w:sz w:val="28"/>
        </w:rPr>
        <w:t>产出数量主要从“参保缴费补贴人</w:t>
      </w:r>
      <w:r>
        <w:rPr>
          <w:rFonts w:hint="eastAsia" w:ascii="Times New Roman" w:eastAsia="宋体"/>
          <w:sz w:val="28"/>
          <w:highlight w:val="none"/>
        </w:rPr>
        <w:t xml:space="preserve">数 </w:t>
      </w:r>
      <w:r>
        <w:rPr>
          <w:rFonts w:hint="eastAsia" w:ascii="Times New Roman" w:eastAsia="宋体"/>
          <w:sz w:val="28"/>
          <w:highlight w:val="none"/>
          <w:lang w:eastAsia="zh-CN"/>
        </w:rPr>
        <w:t>”“</w:t>
      </w:r>
      <w:r>
        <w:rPr>
          <w:rFonts w:hint="eastAsia" w:ascii="Times New Roman" w:eastAsia="宋体"/>
          <w:sz w:val="28"/>
        </w:rPr>
        <w:t>养老金领取人数</w:t>
      </w:r>
      <w:r>
        <w:rPr>
          <w:rFonts w:hint="eastAsia" w:ascii="Times New Roman" w:eastAsia="宋体"/>
          <w:sz w:val="28"/>
          <w:lang w:eastAsia="zh-CN"/>
        </w:rPr>
        <w:t>”“</w:t>
      </w:r>
      <w:r>
        <w:rPr>
          <w:rFonts w:hint="eastAsia" w:ascii="Times New Roman" w:eastAsia="宋体"/>
          <w:sz w:val="28"/>
          <w:highlight w:val="none"/>
          <w:lang w:val="en-US" w:eastAsia="zh-CN"/>
        </w:rPr>
        <w:t>个人缴费率”“</w:t>
      </w:r>
      <w:r>
        <w:rPr>
          <w:rFonts w:hint="eastAsia" w:ascii="Times New Roman" w:eastAsia="宋体"/>
          <w:sz w:val="28"/>
          <w:highlight w:val="none"/>
        </w:rPr>
        <w:t>特殊参保对象人次”等4个方面进行评价。</w:t>
      </w:r>
    </w:p>
    <w:p>
      <w:pPr>
        <w:pStyle w:val="2"/>
        <w:spacing w:after="0" w:line="360" w:lineRule="auto"/>
        <w:ind w:firstLine="560" w:firstLineChars="200"/>
        <w:rPr>
          <w:rFonts w:ascii="Times New Roman" w:eastAsia="宋体"/>
          <w:sz w:val="28"/>
        </w:rPr>
      </w:pPr>
      <w:r>
        <w:rPr>
          <w:rFonts w:hint="eastAsia" w:ascii="Times New Roman" w:eastAsia="宋体"/>
          <w:sz w:val="28"/>
        </w:rPr>
        <w:t>（1）参保缴费补贴人数（分值4分）</w:t>
      </w:r>
    </w:p>
    <w:p>
      <w:pPr>
        <w:pStyle w:val="2"/>
        <w:spacing w:after="0" w:line="360" w:lineRule="auto"/>
        <w:ind w:firstLine="560" w:firstLineChars="200"/>
        <w:rPr>
          <w:rFonts w:ascii="Times New Roman" w:eastAsia="宋体"/>
          <w:sz w:val="28"/>
        </w:rPr>
      </w:pPr>
      <w:r>
        <w:rPr>
          <w:rFonts w:hint="eastAsia" w:ascii="Times New Roman" w:eastAsia="宋体"/>
          <w:sz w:val="28"/>
        </w:rPr>
        <w:t>“参保缴费补贴人数”用于考核德化县2022年度60周岁以下参保缴费补贴人数是否达到年初的绩效目标值。</w:t>
      </w:r>
    </w:p>
    <w:p>
      <w:pPr>
        <w:pStyle w:val="2"/>
        <w:spacing w:after="0" w:line="360" w:lineRule="auto"/>
        <w:ind w:firstLine="560" w:firstLineChars="200"/>
        <w:rPr>
          <w:rFonts w:ascii="Times New Roman" w:eastAsia="宋体"/>
          <w:sz w:val="28"/>
        </w:rPr>
      </w:pPr>
      <w:r>
        <w:rPr>
          <w:rFonts w:hint="eastAsia" w:ascii="Times New Roman" w:eastAsia="宋体"/>
          <w:sz w:val="28"/>
        </w:rPr>
        <w:t>根据德化县人社局提供资料，参考2021年绩效目标完成值为107800人，2022年初设置的绩效目标为107900人。</w:t>
      </w:r>
      <w:r>
        <w:rPr>
          <w:rFonts w:hint="eastAsia" w:ascii="Times New Roman" w:eastAsia="宋体"/>
          <w:sz w:val="28"/>
          <w:lang w:eastAsia="zh-CN"/>
        </w:rPr>
        <w:t>截至2022年</w:t>
      </w:r>
      <w:r>
        <w:rPr>
          <w:rFonts w:hint="eastAsia" w:ascii="Times New Roman" w:eastAsia="宋体"/>
          <w:sz w:val="28"/>
        </w:rPr>
        <w:t>12月31日，实际60周岁以下参保缴费补贴</w:t>
      </w:r>
      <w:r>
        <w:rPr>
          <w:rFonts w:hint="eastAsia" w:ascii="Times New Roman" w:eastAsia="宋体"/>
          <w:sz w:val="28"/>
          <w:lang w:eastAsia="zh-CN"/>
        </w:rPr>
        <w:t>人数</w:t>
      </w:r>
      <w:r>
        <w:rPr>
          <w:rFonts w:hint="eastAsia" w:ascii="Times New Roman" w:eastAsia="宋体"/>
          <w:sz w:val="28"/>
        </w:rPr>
        <w:t>为163221人，</w:t>
      </w:r>
      <w:r>
        <w:rPr>
          <w:rFonts w:hint="eastAsia" w:ascii="Times New Roman" w:eastAsia="宋体"/>
          <w:sz w:val="28"/>
          <w:lang w:val="en-US" w:eastAsia="zh-CN"/>
        </w:rPr>
        <w:t>其中，16-59周岁城乡居民参保人数119867人。</w:t>
      </w:r>
      <w:r>
        <w:rPr>
          <w:rFonts w:hint="eastAsia" w:ascii="Times New Roman" w:eastAsia="宋体"/>
          <w:sz w:val="28"/>
        </w:rPr>
        <w:t>超额完成参保目标</w:t>
      </w:r>
      <w:r>
        <w:rPr>
          <w:rFonts w:hint="eastAsia" w:ascii="Times New Roman" w:eastAsia="宋体"/>
          <w:sz w:val="28"/>
          <w:lang w:eastAsia="zh-CN"/>
        </w:rPr>
        <w:t>，</w:t>
      </w:r>
      <w:r>
        <w:rPr>
          <w:rFonts w:hint="eastAsia" w:ascii="Times New Roman" w:eastAsia="宋体"/>
          <w:sz w:val="28"/>
        </w:rPr>
        <w:t>根据评分标准，此项得4分。</w:t>
      </w:r>
    </w:p>
    <w:p>
      <w:pPr>
        <w:pStyle w:val="2"/>
        <w:spacing w:after="0" w:line="360" w:lineRule="auto"/>
        <w:ind w:firstLine="560" w:firstLineChars="200"/>
        <w:rPr>
          <w:rFonts w:ascii="Times New Roman" w:eastAsia="宋体"/>
          <w:sz w:val="28"/>
        </w:rPr>
      </w:pPr>
      <w:r>
        <w:rPr>
          <w:rFonts w:hint="eastAsia" w:ascii="Times New Roman" w:eastAsia="宋体"/>
          <w:sz w:val="28"/>
        </w:rPr>
        <w:t>（2）养老金领取人数（分值为4分）</w:t>
      </w:r>
    </w:p>
    <w:p>
      <w:pPr>
        <w:pStyle w:val="2"/>
        <w:spacing w:after="0" w:line="360" w:lineRule="auto"/>
        <w:ind w:firstLine="560" w:firstLineChars="200"/>
        <w:rPr>
          <w:rFonts w:ascii="Times New Roman" w:eastAsia="宋体"/>
          <w:sz w:val="28"/>
        </w:rPr>
      </w:pPr>
      <w:r>
        <w:rPr>
          <w:rFonts w:hint="eastAsia" w:ascii="Times New Roman" w:eastAsia="宋体"/>
          <w:sz w:val="28"/>
        </w:rPr>
        <w:t>“养老金领取人数”用于考核德化县人社局是否落实财政补助资金补助60周岁以上城乡居民基本养老保险待遇领取人员的人数是否达到绩效目标值。</w:t>
      </w:r>
    </w:p>
    <w:p>
      <w:pPr>
        <w:pStyle w:val="2"/>
        <w:spacing w:after="0" w:line="360" w:lineRule="auto"/>
        <w:ind w:firstLine="560" w:firstLineChars="200"/>
        <w:rPr>
          <w:rFonts w:hint="eastAsia" w:ascii="Times New Roman" w:eastAsia="宋体"/>
          <w:sz w:val="28"/>
        </w:rPr>
      </w:pPr>
      <w:r>
        <w:rPr>
          <w:rFonts w:hint="eastAsia" w:ascii="Times New Roman" w:eastAsia="宋体"/>
          <w:sz w:val="28"/>
        </w:rPr>
        <w:t>根据德化县人社局提供资料，2022年度目标值为养老金领取数量41450人。</w:t>
      </w:r>
      <w:r>
        <w:rPr>
          <w:rFonts w:hint="eastAsia" w:ascii="Times New Roman" w:eastAsia="宋体"/>
          <w:sz w:val="28"/>
          <w:lang w:eastAsia="zh-CN"/>
        </w:rPr>
        <w:t>截至2022年</w:t>
      </w:r>
      <w:r>
        <w:rPr>
          <w:rFonts w:hint="eastAsia" w:ascii="Times New Roman" w:eastAsia="宋体"/>
          <w:sz w:val="28"/>
        </w:rPr>
        <w:t>12月31日，德化县60周岁以上领取城乡居民养老保险待遇人数达43354人。绩效目标已完成，根据评分标准，此项得分4分。</w:t>
      </w:r>
    </w:p>
    <w:p>
      <w:pPr>
        <w:pStyle w:val="2"/>
        <w:spacing w:after="0" w:line="360" w:lineRule="auto"/>
        <w:ind w:firstLine="560" w:firstLineChars="200"/>
        <w:rPr>
          <w:rFonts w:ascii="Times New Roman" w:eastAsia="宋体"/>
          <w:sz w:val="28"/>
        </w:rPr>
      </w:pPr>
      <w:r>
        <w:rPr>
          <w:rFonts w:hint="eastAsia" w:ascii="Times New Roman" w:eastAsia="宋体"/>
          <w:sz w:val="28"/>
        </w:rPr>
        <w:t>（3）</w:t>
      </w:r>
      <w:r>
        <w:rPr>
          <w:rFonts w:hint="eastAsia" w:ascii="Times New Roman" w:eastAsia="宋体"/>
          <w:sz w:val="28"/>
          <w:lang w:val="en-US" w:eastAsia="zh-CN"/>
        </w:rPr>
        <w:t>个人缴费率</w:t>
      </w:r>
      <w:r>
        <w:rPr>
          <w:rFonts w:hint="eastAsia" w:ascii="Times New Roman" w:eastAsia="宋体"/>
          <w:sz w:val="28"/>
        </w:rPr>
        <w:t>（分值为4分）</w:t>
      </w:r>
    </w:p>
    <w:p>
      <w:pPr>
        <w:pStyle w:val="2"/>
        <w:spacing w:after="0" w:line="360" w:lineRule="auto"/>
        <w:ind w:firstLine="560" w:firstLineChars="200"/>
        <w:rPr>
          <w:rFonts w:ascii="Times New Roman" w:eastAsia="宋体"/>
          <w:sz w:val="28"/>
        </w:rPr>
      </w:pPr>
      <w:r>
        <w:rPr>
          <w:rFonts w:hint="eastAsia" w:ascii="Times New Roman" w:eastAsia="宋体"/>
          <w:sz w:val="28"/>
        </w:rPr>
        <w:t>“</w:t>
      </w:r>
      <w:r>
        <w:rPr>
          <w:rFonts w:hint="eastAsia" w:ascii="Times New Roman" w:eastAsia="宋体"/>
          <w:sz w:val="28"/>
          <w:lang w:val="en-US" w:eastAsia="zh-CN"/>
        </w:rPr>
        <w:t>个人缴费率</w:t>
      </w:r>
      <w:r>
        <w:rPr>
          <w:rFonts w:hint="eastAsia" w:ascii="Times New Roman" w:eastAsia="宋体"/>
          <w:sz w:val="28"/>
        </w:rPr>
        <w:t>”用于评价2022年度</w:t>
      </w:r>
      <w:r>
        <w:rPr>
          <w:rFonts w:hint="eastAsia" w:ascii="Times New Roman" w:eastAsia="宋体"/>
          <w:sz w:val="28"/>
          <w:lang w:val="en-US" w:eastAsia="zh-CN"/>
        </w:rPr>
        <w:t>城乡居民基本养老保险全年已收取的个人缴费占应收取个人缴费的比例情况</w:t>
      </w:r>
      <w:r>
        <w:rPr>
          <w:rFonts w:hint="eastAsia" w:ascii="Times New Roman" w:eastAsia="宋体"/>
          <w:sz w:val="28"/>
        </w:rPr>
        <w:t>。</w:t>
      </w:r>
    </w:p>
    <w:p>
      <w:pPr>
        <w:pStyle w:val="2"/>
        <w:spacing w:after="0" w:line="360" w:lineRule="auto"/>
        <w:ind w:firstLine="560" w:firstLineChars="200"/>
        <w:rPr>
          <w:rFonts w:ascii="Times New Roman" w:eastAsia="宋体"/>
          <w:sz w:val="28"/>
        </w:rPr>
      </w:pPr>
      <w:r>
        <w:rPr>
          <w:rFonts w:hint="eastAsia" w:ascii="Times New Roman" w:eastAsia="宋体"/>
          <w:sz w:val="28"/>
          <w:lang w:eastAsia="zh-CN"/>
        </w:rPr>
        <w:t>截至2022年</w:t>
      </w:r>
      <w:r>
        <w:rPr>
          <w:rFonts w:hint="eastAsia" w:ascii="Times New Roman" w:eastAsia="宋体"/>
          <w:sz w:val="28"/>
        </w:rPr>
        <w:t>12月31日，</w:t>
      </w:r>
      <w:r>
        <w:rPr>
          <w:rFonts w:hint="eastAsia" w:ascii="Times New Roman" w:eastAsia="宋体"/>
          <w:sz w:val="28"/>
          <w:lang w:val="en-US" w:eastAsia="zh-CN"/>
        </w:rPr>
        <w:t>德化县全年应收取城乡居民基本养老保险个人缴费2423.55万元，实际累计收取2284.19万元，缴费率达94.25%。</w:t>
      </w:r>
      <w:r>
        <w:rPr>
          <w:rFonts w:hint="eastAsia" w:ascii="Times New Roman" w:eastAsia="宋体"/>
          <w:sz w:val="28"/>
        </w:rPr>
        <w:t>绩效目标已完成，根据评分标准，此项得分4分。</w:t>
      </w:r>
    </w:p>
    <w:p>
      <w:pPr>
        <w:pStyle w:val="2"/>
        <w:spacing w:after="0" w:line="360" w:lineRule="auto"/>
        <w:ind w:firstLine="560" w:firstLineChars="200"/>
        <w:rPr>
          <w:rFonts w:ascii="Times New Roman" w:eastAsia="宋体"/>
          <w:sz w:val="28"/>
        </w:rPr>
      </w:pPr>
      <w:r>
        <w:rPr>
          <w:rFonts w:hint="eastAsia" w:ascii="Times New Roman" w:eastAsia="宋体"/>
          <w:sz w:val="28"/>
        </w:rPr>
        <w:t>因此，产出数量</w:t>
      </w:r>
      <w:r>
        <w:rPr>
          <w:rFonts w:hint="eastAsia" w:ascii="Times New Roman" w:eastAsia="宋体"/>
          <w:sz w:val="28"/>
          <w:lang w:eastAsia="zh-CN"/>
        </w:rPr>
        <w:t>的</w:t>
      </w:r>
      <w:r>
        <w:rPr>
          <w:rFonts w:hint="eastAsia" w:ascii="Times New Roman" w:eastAsia="宋体"/>
          <w:sz w:val="28"/>
        </w:rPr>
        <w:t>12分。</w:t>
      </w:r>
    </w:p>
    <w:p>
      <w:pPr>
        <w:pStyle w:val="2"/>
        <w:spacing w:after="0" w:line="360" w:lineRule="auto"/>
        <w:ind w:firstLine="0" w:firstLineChars="0"/>
        <w:jc w:val="left"/>
        <w:outlineLvl w:val="2"/>
        <w:rPr>
          <w:rFonts w:ascii="Times New Roman" w:eastAsia="宋体"/>
          <w:b/>
          <w:sz w:val="28"/>
        </w:rPr>
      </w:pPr>
      <w:bookmarkStart w:id="161" w:name="_Toc10812"/>
      <w:r>
        <w:rPr>
          <w:rFonts w:hint="eastAsia" w:ascii="Times New Roman" w:eastAsia="宋体"/>
          <w:b/>
          <w:sz w:val="28"/>
        </w:rPr>
        <w:t>2.产出质量（分值</w:t>
      </w:r>
      <w:r>
        <w:rPr>
          <w:rFonts w:hint="eastAsia" w:ascii="Times New Roman" w:eastAsia="宋体"/>
          <w:b/>
          <w:sz w:val="28"/>
          <w:lang w:eastAsia="zh-CN"/>
        </w:rPr>
        <w:t>为</w:t>
      </w:r>
      <w:r>
        <w:rPr>
          <w:rFonts w:hint="eastAsia" w:ascii="Times New Roman" w:eastAsia="宋体"/>
          <w:b/>
          <w:sz w:val="28"/>
        </w:rPr>
        <w:t>12分）</w:t>
      </w:r>
      <w:bookmarkEnd w:id="161"/>
    </w:p>
    <w:p>
      <w:pPr>
        <w:pStyle w:val="2"/>
        <w:spacing w:after="0" w:line="360" w:lineRule="auto"/>
        <w:ind w:firstLine="560" w:firstLineChars="200"/>
        <w:rPr>
          <w:rFonts w:ascii="Times New Roman" w:eastAsia="宋体"/>
          <w:sz w:val="28"/>
        </w:rPr>
      </w:pPr>
      <w:r>
        <w:rPr>
          <w:rFonts w:hint="eastAsia" w:ascii="Times New Roman" w:eastAsia="宋体"/>
          <w:sz w:val="28"/>
        </w:rPr>
        <w:t>产出质量主要从“养老金发放合规性</w:t>
      </w:r>
      <w:r>
        <w:rPr>
          <w:rFonts w:hint="eastAsia" w:ascii="Times New Roman" w:eastAsia="宋体"/>
          <w:sz w:val="28"/>
          <w:lang w:eastAsia="zh-CN"/>
        </w:rPr>
        <w:t>”“</w:t>
      </w:r>
      <w:r>
        <w:rPr>
          <w:rFonts w:hint="eastAsia" w:ascii="Times New Roman" w:eastAsia="宋体"/>
          <w:sz w:val="28"/>
        </w:rPr>
        <w:t>违规领取待遇追讨力度</w:t>
      </w:r>
      <w:r>
        <w:rPr>
          <w:rFonts w:hint="eastAsia" w:ascii="Times New Roman" w:eastAsia="宋体"/>
          <w:sz w:val="28"/>
          <w:lang w:eastAsia="zh-CN"/>
        </w:rPr>
        <w:t>”“</w:t>
      </w:r>
      <w:r>
        <w:rPr>
          <w:rFonts w:hint="eastAsia" w:ascii="Times New Roman" w:eastAsia="宋体"/>
          <w:sz w:val="28"/>
        </w:rPr>
        <w:t>共享机制健全性”等</w:t>
      </w:r>
      <w:r>
        <w:rPr>
          <w:rFonts w:hint="eastAsia" w:ascii="Times New Roman" w:eastAsia="宋体"/>
          <w:sz w:val="28"/>
          <w:lang w:val="en-US" w:eastAsia="zh-CN"/>
        </w:rPr>
        <w:t>3</w:t>
      </w:r>
      <w:r>
        <w:rPr>
          <w:rFonts w:hint="eastAsia" w:ascii="Times New Roman" w:eastAsia="宋体"/>
          <w:sz w:val="28"/>
        </w:rPr>
        <w:t>个三级指标进行评价。</w:t>
      </w:r>
    </w:p>
    <w:p>
      <w:pPr>
        <w:pStyle w:val="2"/>
        <w:spacing w:after="0" w:line="360" w:lineRule="auto"/>
        <w:ind w:firstLine="560" w:firstLineChars="200"/>
        <w:rPr>
          <w:rFonts w:ascii="Times New Roman" w:eastAsia="宋体"/>
          <w:sz w:val="28"/>
        </w:rPr>
      </w:pPr>
      <w:r>
        <w:rPr>
          <w:rFonts w:hint="eastAsia" w:ascii="Times New Roman" w:eastAsia="宋体"/>
          <w:sz w:val="28"/>
        </w:rPr>
        <w:t>（1）养老金发放合规性（分值为4分）</w:t>
      </w:r>
    </w:p>
    <w:p>
      <w:pPr>
        <w:pStyle w:val="2"/>
        <w:spacing w:after="0" w:line="360" w:lineRule="auto"/>
        <w:ind w:firstLine="560" w:firstLineChars="200"/>
        <w:rPr>
          <w:rFonts w:ascii="Times New Roman" w:eastAsia="宋体"/>
          <w:sz w:val="28"/>
        </w:rPr>
      </w:pPr>
      <w:r>
        <w:rPr>
          <w:rFonts w:hint="eastAsia" w:ascii="Times New Roman" w:eastAsia="宋体"/>
          <w:sz w:val="28"/>
        </w:rPr>
        <w:t>“养老金发放合规性”主要用于评价德化县城乡居民养老金发放的情况是否合规。考核是否严格执行社会保险待遇核定、发放相关制度，是否确保各项待遇及时准确发放，是否实现应发尽发100%，是否及时提醒临期人员进行认证、上门服务认证等工作。</w:t>
      </w:r>
    </w:p>
    <w:p>
      <w:pPr>
        <w:pStyle w:val="2"/>
        <w:spacing w:after="0" w:line="360" w:lineRule="auto"/>
        <w:ind w:firstLine="560" w:firstLineChars="200"/>
        <w:rPr>
          <w:rFonts w:ascii="Times New Roman" w:eastAsia="宋体"/>
          <w:sz w:val="28"/>
        </w:rPr>
      </w:pPr>
      <w:r>
        <w:rPr>
          <w:rFonts w:hint="eastAsia" w:ascii="Times New Roman" w:eastAsia="宋体"/>
          <w:sz w:val="28"/>
        </w:rPr>
        <w:t>2022年度，德化县人社局严格执行社会保险待遇核定制度，疫情期间通过核酸检测及疫苗接种等大数据，实行静默认证。</w:t>
      </w:r>
      <w:r>
        <w:rPr>
          <w:rFonts w:hint="eastAsia" w:ascii="Times New Roman" w:eastAsia="宋体"/>
          <w:sz w:val="28"/>
          <w:lang w:eastAsia="zh-CN"/>
        </w:rPr>
        <w:t>截至2022年</w:t>
      </w:r>
      <w:r>
        <w:rPr>
          <w:rFonts w:hint="eastAsia" w:ascii="Times New Roman" w:eastAsia="宋体"/>
          <w:sz w:val="28"/>
        </w:rPr>
        <w:t>12月31日，德化县60周岁以上领取城乡居民养老保险待遇人数达应发43354人，实际发放43354人，养老金发放率达到100%，达成绩效目标，根据评分标准，此项得分4分。</w:t>
      </w:r>
    </w:p>
    <w:p>
      <w:pPr>
        <w:pStyle w:val="2"/>
        <w:spacing w:after="0" w:line="360" w:lineRule="auto"/>
        <w:ind w:firstLine="560" w:firstLineChars="200"/>
        <w:rPr>
          <w:rFonts w:ascii="Times New Roman" w:eastAsia="宋体"/>
          <w:sz w:val="28"/>
        </w:rPr>
      </w:pPr>
      <w:r>
        <w:rPr>
          <w:rFonts w:hint="eastAsia" w:ascii="Times New Roman" w:eastAsia="宋体"/>
          <w:sz w:val="28"/>
        </w:rPr>
        <w:t>（2）违规领取待遇追讨力度（分值为4分）</w:t>
      </w:r>
    </w:p>
    <w:p>
      <w:pPr>
        <w:pStyle w:val="2"/>
        <w:spacing w:after="0" w:line="360" w:lineRule="auto"/>
        <w:ind w:firstLine="560" w:firstLineChars="200"/>
        <w:rPr>
          <w:rFonts w:ascii="Times New Roman" w:eastAsia="宋体"/>
          <w:sz w:val="28"/>
        </w:rPr>
      </w:pPr>
      <w:r>
        <w:rPr>
          <w:rFonts w:hint="eastAsia" w:ascii="Times New Roman" w:eastAsia="宋体"/>
          <w:sz w:val="28"/>
        </w:rPr>
        <w:t>“违规领取待遇追讨力度”用于评价是否实现数据实时共享，是否加强信息比对工作，是否开展违规领取清理行动，是否追回全部违规待遇金额，维护基金安全。</w:t>
      </w:r>
    </w:p>
    <w:p>
      <w:pPr>
        <w:pStyle w:val="2"/>
        <w:spacing w:after="0" w:line="360" w:lineRule="auto"/>
        <w:ind w:firstLine="560" w:firstLineChars="200"/>
        <w:rPr>
          <w:rFonts w:ascii="Times New Roman" w:eastAsia="宋体"/>
          <w:sz w:val="28"/>
        </w:rPr>
      </w:pPr>
      <w:r>
        <w:rPr>
          <w:rFonts w:hint="eastAsia" w:ascii="Times New Roman" w:eastAsia="宋体"/>
          <w:sz w:val="28"/>
        </w:rPr>
        <w:t>2022年度德化县开展违规领取待遇追讨工作</w:t>
      </w:r>
      <w:r>
        <w:rPr>
          <w:rFonts w:hint="eastAsia" w:ascii="Times New Roman" w:eastAsia="宋体"/>
          <w:sz w:val="28"/>
          <w:lang w:eastAsia="zh-CN"/>
        </w:rPr>
        <w:t>，</w:t>
      </w:r>
      <w:r>
        <w:rPr>
          <w:rFonts w:hint="eastAsia" w:ascii="Times New Roman" w:eastAsia="宋体"/>
          <w:sz w:val="28"/>
        </w:rPr>
        <w:t>结合日常稽核和上级下发的疑点数据，加大违规领取待遇追讨力度，共追回城乡</w:t>
      </w:r>
      <w:r>
        <w:rPr>
          <w:rFonts w:hint="eastAsia" w:ascii="Times New Roman" w:eastAsia="宋体"/>
          <w:sz w:val="28"/>
          <w:lang w:eastAsia="zh-CN"/>
        </w:rPr>
        <w:t>居民</w:t>
      </w:r>
      <w:r>
        <w:rPr>
          <w:rFonts w:hint="eastAsia" w:ascii="Times New Roman" w:eastAsia="宋体"/>
          <w:sz w:val="28"/>
        </w:rPr>
        <w:t>养老保险待遇22人，金额26127.45元</w:t>
      </w:r>
      <w:r>
        <w:rPr>
          <w:rFonts w:hint="eastAsia" w:ascii="Times New Roman" w:eastAsia="宋体"/>
          <w:sz w:val="28"/>
          <w:lang w:eastAsia="zh-CN"/>
        </w:rPr>
        <w:t>。</w:t>
      </w:r>
      <w:r>
        <w:rPr>
          <w:rFonts w:hint="eastAsia" w:ascii="Times New Roman" w:eastAsia="宋体"/>
          <w:sz w:val="28"/>
        </w:rPr>
        <w:t>此项得分4分。</w:t>
      </w:r>
    </w:p>
    <w:p>
      <w:pPr>
        <w:pStyle w:val="2"/>
        <w:spacing w:after="0" w:line="360" w:lineRule="auto"/>
        <w:ind w:firstLine="560" w:firstLineChars="200"/>
        <w:rPr>
          <w:rFonts w:ascii="Times New Roman" w:eastAsia="宋体"/>
          <w:sz w:val="28"/>
        </w:rPr>
      </w:pPr>
      <w:r>
        <w:rPr>
          <w:rFonts w:hint="eastAsia" w:ascii="Times New Roman" w:eastAsia="宋体"/>
          <w:sz w:val="28"/>
        </w:rPr>
        <w:t>（3）共享机制健全性（分值为4分）</w:t>
      </w:r>
    </w:p>
    <w:p>
      <w:pPr>
        <w:pStyle w:val="2"/>
        <w:spacing w:after="0" w:line="360" w:lineRule="auto"/>
        <w:ind w:firstLine="560" w:firstLineChars="200"/>
        <w:rPr>
          <w:rFonts w:ascii="Times New Roman" w:eastAsia="宋体"/>
          <w:sz w:val="28"/>
        </w:rPr>
      </w:pPr>
      <w:r>
        <w:rPr>
          <w:rFonts w:hint="eastAsia" w:ascii="Times New Roman" w:eastAsia="宋体"/>
          <w:sz w:val="28"/>
        </w:rPr>
        <w:t>“共享机制健全性”用于评价交流共享信息是否健全、完善。考核是否加强乡镇劳动保障工作平台建设，是否推行全省统一的社会保障卡使用，是否完善城乡居民养老保险信息管理系统，是否联动各有关部门密切配合，共同做好城乡居民养老保险的组织实施工作。</w:t>
      </w:r>
    </w:p>
    <w:p>
      <w:pPr>
        <w:pStyle w:val="2"/>
        <w:spacing w:after="0" w:line="360" w:lineRule="auto"/>
        <w:ind w:firstLine="560" w:firstLineChars="200"/>
        <w:rPr>
          <w:rFonts w:hint="eastAsia" w:ascii="Times New Roman" w:eastAsia="宋体"/>
          <w:sz w:val="28"/>
          <w:lang w:val="en-US" w:eastAsia="zh-CN"/>
        </w:rPr>
      </w:pPr>
      <w:r>
        <w:rPr>
          <w:rFonts w:hint="eastAsia" w:ascii="Times New Roman" w:eastAsia="宋体"/>
          <w:sz w:val="28"/>
        </w:rPr>
        <w:t>经评价组调研，德化县人社局积极落实《德化县城乡居民基本养老保险实施意见》，科学整合现有公共服务资源和社会保险经办管理资源，推行全省统一的社会保障卡，加强村级金融服务便民点建设，方便参保人持卡缴费、领取待遇和查询本人参保信息。但实际执行过程中也存在重复参保、重复领取等情况。社保诸多工作需要民政、公安、卫健、税务等相关部门协调配合，数据共享，由于信息交流共享机制不完善，部门协助配合积极性不高，提供的数据不及时，社保工作开展难度较高，导致</w:t>
      </w:r>
      <w:r>
        <w:rPr>
          <w:rFonts w:hint="eastAsia" w:ascii="Times New Roman" w:eastAsia="宋体"/>
          <w:sz w:val="28"/>
          <w:lang w:val="en-US" w:eastAsia="zh-CN"/>
        </w:rPr>
        <w:t>出现</w:t>
      </w:r>
      <w:r>
        <w:rPr>
          <w:rFonts w:hint="eastAsia" w:ascii="Times New Roman" w:eastAsia="宋体"/>
          <w:sz w:val="28"/>
        </w:rPr>
        <w:t>重复参保、重复缴费、重复发放待遇等问题的发生。此项扣2分，得2分</w:t>
      </w:r>
      <w:r>
        <w:rPr>
          <w:rFonts w:hint="eastAsia" w:ascii="Times New Roman" w:eastAsia="宋体"/>
          <w:sz w:val="28"/>
          <w:lang w:eastAsia="zh-CN"/>
        </w:rPr>
        <w:t>。</w:t>
      </w:r>
    </w:p>
    <w:p>
      <w:pPr>
        <w:pStyle w:val="2"/>
        <w:spacing w:after="0" w:line="360" w:lineRule="auto"/>
        <w:ind w:firstLine="560" w:firstLineChars="200"/>
        <w:rPr>
          <w:rFonts w:ascii="Times New Roman" w:eastAsia="宋体"/>
          <w:sz w:val="28"/>
        </w:rPr>
      </w:pPr>
      <w:r>
        <w:rPr>
          <w:rFonts w:hint="eastAsia" w:ascii="Times New Roman" w:eastAsia="宋体"/>
          <w:sz w:val="28"/>
        </w:rPr>
        <w:t>因此，产出质量</w:t>
      </w:r>
      <w:r>
        <w:rPr>
          <w:rFonts w:hint="eastAsia" w:ascii="Times New Roman" w:eastAsia="宋体"/>
          <w:sz w:val="28"/>
          <w:lang w:eastAsia="zh-CN"/>
        </w:rPr>
        <w:t>的</w:t>
      </w:r>
      <w:r>
        <w:rPr>
          <w:rFonts w:hint="eastAsia" w:ascii="Times New Roman" w:eastAsia="宋体"/>
          <w:sz w:val="28"/>
        </w:rPr>
        <w:t>10分。</w:t>
      </w:r>
    </w:p>
    <w:p>
      <w:pPr>
        <w:pStyle w:val="2"/>
        <w:spacing w:after="0" w:line="360" w:lineRule="auto"/>
        <w:ind w:firstLine="0" w:firstLineChars="0"/>
        <w:jc w:val="left"/>
        <w:outlineLvl w:val="2"/>
        <w:rPr>
          <w:rFonts w:ascii="Times New Roman" w:eastAsia="宋体"/>
          <w:b/>
          <w:sz w:val="28"/>
        </w:rPr>
      </w:pPr>
      <w:bookmarkStart w:id="162" w:name="_Toc5287"/>
      <w:r>
        <w:rPr>
          <w:rFonts w:hint="eastAsia" w:ascii="Times New Roman" w:eastAsia="宋体"/>
          <w:b/>
          <w:sz w:val="28"/>
        </w:rPr>
        <w:t>3.产出时效（分值为3分）</w:t>
      </w:r>
      <w:bookmarkEnd w:id="162"/>
    </w:p>
    <w:p>
      <w:pPr>
        <w:pStyle w:val="2"/>
        <w:spacing w:after="0" w:line="360" w:lineRule="auto"/>
        <w:ind w:firstLine="560" w:firstLineChars="200"/>
        <w:rPr>
          <w:rFonts w:ascii="Times New Roman" w:eastAsia="宋体"/>
          <w:sz w:val="28"/>
        </w:rPr>
      </w:pPr>
      <w:r>
        <w:rPr>
          <w:rFonts w:hint="eastAsia" w:ascii="Times New Roman" w:eastAsia="宋体"/>
          <w:sz w:val="28"/>
        </w:rPr>
        <w:t>产出时效从“每月养老金按时发放率”方面进行评价。用于反映养老金按时发放的及时性。</w:t>
      </w:r>
    </w:p>
    <w:p>
      <w:pPr>
        <w:pStyle w:val="2"/>
        <w:spacing w:after="0" w:line="360" w:lineRule="auto"/>
        <w:ind w:firstLine="560" w:firstLineChars="200"/>
        <w:rPr>
          <w:rFonts w:ascii="Times New Roman" w:eastAsia="宋体"/>
          <w:sz w:val="28"/>
        </w:rPr>
      </w:pPr>
      <w:r>
        <w:rPr>
          <w:rFonts w:hint="eastAsia" w:ascii="Times New Roman" w:eastAsia="宋体"/>
          <w:sz w:val="28"/>
        </w:rPr>
        <w:t>评价组通过抽查德化县每月养老金待遇发放情况，以及查看德化县人社局台账情况，</w:t>
      </w:r>
      <w:r>
        <w:rPr>
          <w:rFonts w:hint="eastAsia" w:ascii="Times New Roman" w:eastAsia="宋体"/>
          <w:sz w:val="28"/>
          <w:lang w:eastAsia="zh-CN"/>
        </w:rPr>
        <w:t>截至2022年</w:t>
      </w:r>
      <w:r>
        <w:rPr>
          <w:rFonts w:hint="eastAsia" w:ascii="Times New Roman" w:eastAsia="宋体"/>
          <w:sz w:val="28"/>
        </w:rPr>
        <w:t>6月30日，财政补助资金及时拨到财政专户，</w:t>
      </w:r>
      <w:r>
        <w:rPr>
          <w:rFonts w:hint="eastAsia" w:ascii="Times New Roman" w:eastAsia="宋体"/>
          <w:sz w:val="28"/>
          <w:lang w:val="en-US" w:eastAsia="zh-CN"/>
        </w:rPr>
        <w:t>全年发放养老金7722.63万元，</w:t>
      </w:r>
      <w:r>
        <w:rPr>
          <w:rFonts w:hint="eastAsia" w:ascii="Times New Roman" w:eastAsia="宋体"/>
          <w:sz w:val="28"/>
        </w:rPr>
        <w:t>每月养老金按时发放率100%，根据评分标准，该指标得</w:t>
      </w:r>
      <w:r>
        <w:rPr>
          <w:rFonts w:hint="eastAsia" w:ascii="Times New Roman" w:eastAsia="宋体"/>
          <w:sz w:val="28"/>
          <w:lang w:val="en-US" w:eastAsia="zh-CN"/>
        </w:rPr>
        <w:t>3</w:t>
      </w:r>
      <w:r>
        <w:rPr>
          <w:rFonts w:hint="eastAsia" w:ascii="Times New Roman" w:eastAsia="宋体"/>
          <w:sz w:val="28"/>
        </w:rPr>
        <w:t>分。</w:t>
      </w:r>
    </w:p>
    <w:p>
      <w:pPr>
        <w:pStyle w:val="2"/>
        <w:spacing w:after="0" w:line="360" w:lineRule="auto"/>
        <w:ind w:firstLine="560" w:firstLineChars="200"/>
        <w:rPr>
          <w:rFonts w:ascii="Times New Roman" w:eastAsia="宋体"/>
          <w:sz w:val="28"/>
        </w:rPr>
      </w:pPr>
      <w:r>
        <w:rPr>
          <w:rFonts w:hint="eastAsia" w:ascii="Times New Roman" w:eastAsia="宋体"/>
          <w:sz w:val="28"/>
        </w:rPr>
        <w:t>因此，产出时效得3分。</w:t>
      </w:r>
    </w:p>
    <w:p>
      <w:pPr>
        <w:pStyle w:val="2"/>
        <w:spacing w:after="0" w:line="360" w:lineRule="auto"/>
        <w:ind w:firstLine="0" w:firstLineChars="0"/>
        <w:jc w:val="left"/>
        <w:outlineLvl w:val="2"/>
        <w:rPr>
          <w:rFonts w:ascii="Times New Roman" w:eastAsia="宋体"/>
          <w:b/>
          <w:sz w:val="28"/>
        </w:rPr>
      </w:pPr>
      <w:bookmarkStart w:id="163" w:name="_Toc25184"/>
      <w:r>
        <w:rPr>
          <w:rFonts w:hint="eastAsia" w:ascii="Times New Roman" w:eastAsia="宋体"/>
          <w:b/>
          <w:sz w:val="28"/>
        </w:rPr>
        <w:t>4.产出成本（分值为3分）</w:t>
      </w:r>
      <w:bookmarkEnd w:id="163"/>
    </w:p>
    <w:p>
      <w:pPr>
        <w:pStyle w:val="2"/>
        <w:spacing w:after="0" w:line="360" w:lineRule="auto"/>
        <w:ind w:firstLine="560" w:firstLineChars="200"/>
        <w:rPr>
          <w:rFonts w:ascii="Times New Roman" w:eastAsia="宋体"/>
          <w:sz w:val="28"/>
        </w:rPr>
      </w:pPr>
      <w:r>
        <w:rPr>
          <w:rFonts w:hint="eastAsia" w:ascii="Times New Roman" w:eastAsia="宋体"/>
          <w:sz w:val="28"/>
        </w:rPr>
        <w:t>“产出成本”主要从“成本控制率”1个方面评价。用于反映城乡居民保险补助的成本控制情况。</w:t>
      </w:r>
    </w:p>
    <w:p>
      <w:pPr>
        <w:pStyle w:val="2"/>
        <w:spacing w:after="0" w:line="360" w:lineRule="auto"/>
        <w:ind w:firstLine="560" w:firstLineChars="200"/>
        <w:rPr>
          <w:rFonts w:ascii="Times New Roman" w:eastAsia="宋体"/>
          <w:sz w:val="28"/>
        </w:rPr>
      </w:pPr>
      <w:r>
        <w:rPr>
          <w:rFonts w:hint="eastAsia" w:ascii="Times New Roman" w:eastAsia="宋体"/>
          <w:sz w:val="28"/>
        </w:rPr>
        <w:t>根据德化县人社局提供的资料，2022 年度城乡居民保险补助的收入为8071.19万元。支出成本7726.79万元，成本控制率为95.</w:t>
      </w:r>
      <w:r>
        <w:rPr>
          <w:rFonts w:hint="eastAsia" w:ascii="Times New Roman" w:eastAsia="宋体"/>
          <w:sz w:val="28"/>
          <w:lang w:val="en-US" w:eastAsia="zh-CN"/>
        </w:rPr>
        <w:t>7</w:t>
      </w:r>
      <w:r>
        <w:rPr>
          <w:rFonts w:hint="eastAsia" w:ascii="Times New Roman" w:eastAsia="宋体"/>
          <w:sz w:val="28"/>
        </w:rPr>
        <w:t>%，符合绩效目标要求。根据评分标准，该指标得3分。</w:t>
      </w:r>
    </w:p>
    <w:p>
      <w:pPr>
        <w:pStyle w:val="2"/>
        <w:spacing w:after="0" w:line="360" w:lineRule="auto"/>
        <w:ind w:firstLine="560" w:firstLineChars="200"/>
        <w:rPr>
          <w:rFonts w:ascii="Times New Roman" w:eastAsia="宋体"/>
          <w:sz w:val="28"/>
        </w:rPr>
      </w:pPr>
      <w:r>
        <w:rPr>
          <w:rFonts w:hint="eastAsia" w:ascii="Times New Roman" w:eastAsia="宋体"/>
          <w:sz w:val="28"/>
        </w:rPr>
        <w:t>因此，产出成本</w:t>
      </w:r>
      <w:r>
        <w:rPr>
          <w:rFonts w:hint="eastAsia" w:ascii="Times New Roman" w:eastAsia="宋体"/>
          <w:sz w:val="28"/>
          <w:lang w:eastAsia="zh-CN"/>
        </w:rPr>
        <w:t>的</w:t>
      </w:r>
      <w:r>
        <w:rPr>
          <w:rFonts w:hint="eastAsia" w:ascii="Times New Roman" w:eastAsia="宋体"/>
          <w:sz w:val="28"/>
        </w:rPr>
        <w:t xml:space="preserve">3分。 </w:t>
      </w:r>
    </w:p>
    <w:p>
      <w:pPr>
        <w:pStyle w:val="2"/>
        <w:spacing w:before="156" w:beforeLines="50" w:after="0" w:line="360" w:lineRule="auto"/>
        <w:ind w:firstLine="0" w:firstLineChars="0"/>
        <w:jc w:val="left"/>
        <w:outlineLvl w:val="1"/>
        <w:rPr>
          <w:rFonts w:ascii="Times New Roman" w:eastAsia="宋体"/>
          <w:b/>
          <w:bCs/>
          <w:sz w:val="30"/>
          <w:highlight w:val="yellow"/>
        </w:rPr>
      </w:pPr>
      <w:bookmarkStart w:id="164" w:name="_Toc20222"/>
      <w:r>
        <w:rPr>
          <w:rFonts w:hint="eastAsia" w:ascii="Times New Roman" w:eastAsia="宋体"/>
          <w:b/>
          <w:bCs/>
          <w:sz w:val="30"/>
        </w:rPr>
        <w:t>（四）项目效益情况（权重为30%，得分</w:t>
      </w:r>
      <w:r>
        <w:rPr>
          <w:rFonts w:hint="eastAsia" w:ascii="Times New Roman" w:eastAsia="宋体"/>
          <w:b/>
          <w:bCs/>
          <w:sz w:val="30"/>
          <w:lang w:val="en-US" w:eastAsia="zh-CN"/>
        </w:rPr>
        <w:t>27</w:t>
      </w:r>
      <w:r>
        <w:rPr>
          <w:rFonts w:hint="eastAsia" w:ascii="Times New Roman" w:eastAsia="宋体"/>
          <w:b/>
          <w:bCs/>
          <w:sz w:val="30"/>
        </w:rPr>
        <w:t>分）</w:t>
      </w:r>
      <w:bookmarkEnd w:id="164"/>
    </w:p>
    <w:p>
      <w:pPr>
        <w:pStyle w:val="2"/>
        <w:spacing w:after="0" w:line="360" w:lineRule="auto"/>
        <w:ind w:firstLine="560" w:firstLineChars="200"/>
        <w:rPr>
          <w:rFonts w:ascii="Times New Roman" w:eastAsia="宋体"/>
          <w:sz w:val="28"/>
        </w:rPr>
      </w:pPr>
      <w:r>
        <w:rPr>
          <w:rFonts w:hint="eastAsia" w:ascii="Times New Roman" w:eastAsia="宋体"/>
          <w:sz w:val="28"/>
        </w:rPr>
        <w:t>效益指标30分，包括社会效益8分、经济效益8分、可持续效益8分和满意度6分等4个二级指标和7个三级指标。</w:t>
      </w:r>
    </w:p>
    <w:p>
      <w:pPr>
        <w:pStyle w:val="2"/>
        <w:spacing w:after="0" w:line="360" w:lineRule="auto"/>
        <w:ind w:firstLine="0" w:firstLineChars="0"/>
        <w:jc w:val="left"/>
        <w:outlineLvl w:val="2"/>
        <w:rPr>
          <w:rFonts w:ascii="Times New Roman" w:eastAsia="宋体"/>
          <w:b/>
          <w:sz w:val="28"/>
        </w:rPr>
      </w:pPr>
      <w:bookmarkStart w:id="165" w:name="_Toc20917"/>
      <w:r>
        <w:rPr>
          <w:rFonts w:hint="eastAsia" w:ascii="Times New Roman" w:eastAsia="宋体"/>
          <w:b/>
          <w:sz w:val="28"/>
        </w:rPr>
        <w:t>1.社会效益（分值为8分）</w:t>
      </w:r>
      <w:bookmarkEnd w:id="165"/>
    </w:p>
    <w:p>
      <w:pPr>
        <w:pStyle w:val="2"/>
        <w:spacing w:after="0" w:line="360" w:lineRule="auto"/>
        <w:ind w:firstLine="560" w:firstLineChars="200"/>
        <w:rPr>
          <w:rFonts w:ascii="Times New Roman" w:eastAsia="宋体"/>
          <w:sz w:val="28"/>
        </w:rPr>
      </w:pPr>
      <w:r>
        <w:rPr>
          <w:rFonts w:hint="eastAsia" w:ascii="Times New Roman" w:eastAsia="宋体"/>
          <w:sz w:val="28"/>
        </w:rPr>
        <w:t>社会效益主要从“经办队伍稳定性”和“政策宣传”等两个方面进行评价。</w:t>
      </w:r>
    </w:p>
    <w:p>
      <w:pPr>
        <w:pStyle w:val="2"/>
        <w:spacing w:after="0" w:line="360" w:lineRule="auto"/>
        <w:ind w:firstLine="560" w:firstLineChars="200"/>
        <w:rPr>
          <w:rFonts w:ascii="Times New Roman" w:eastAsia="宋体"/>
          <w:sz w:val="28"/>
        </w:rPr>
      </w:pPr>
      <w:r>
        <w:rPr>
          <w:rFonts w:hint="eastAsia" w:ascii="Times New Roman" w:eastAsia="宋体"/>
          <w:sz w:val="28"/>
        </w:rPr>
        <w:t>（1</w:t>
      </w:r>
      <w:r>
        <w:rPr>
          <w:rFonts w:hint="eastAsia" w:ascii="Times New Roman" w:eastAsia="宋体"/>
          <w:sz w:val="28"/>
          <w:lang w:eastAsia="zh-CN"/>
        </w:rPr>
        <w:t>）</w:t>
      </w:r>
      <w:r>
        <w:rPr>
          <w:rFonts w:hint="eastAsia" w:ascii="Times New Roman" w:eastAsia="宋体"/>
          <w:sz w:val="28"/>
        </w:rPr>
        <w:t>经办队伍稳定性（分值为4分）</w:t>
      </w:r>
    </w:p>
    <w:p>
      <w:pPr>
        <w:pStyle w:val="2"/>
        <w:spacing w:after="0" w:line="360" w:lineRule="auto"/>
        <w:ind w:firstLine="560" w:firstLineChars="200"/>
        <w:rPr>
          <w:rFonts w:ascii="Times New Roman" w:eastAsia="宋体"/>
          <w:sz w:val="28"/>
        </w:rPr>
      </w:pPr>
      <w:r>
        <w:rPr>
          <w:rFonts w:hint="eastAsia" w:ascii="Times New Roman" w:eastAsia="宋体"/>
          <w:sz w:val="28"/>
        </w:rPr>
        <w:t>“经办队伍稳定性”用于评价是否明确城乡居民养老保险工作职责，城乡居民保中心配备专人负责，是否加强乡镇劳动保障工作平台建设。</w:t>
      </w:r>
    </w:p>
    <w:p>
      <w:pPr>
        <w:pStyle w:val="2"/>
        <w:spacing w:after="0" w:line="360" w:lineRule="auto"/>
        <w:ind w:firstLine="560" w:firstLineChars="200"/>
        <w:rPr>
          <w:rFonts w:ascii="Times New Roman" w:eastAsia="宋体"/>
          <w:sz w:val="28"/>
        </w:rPr>
      </w:pPr>
      <w:r>
        <w:rPr>
          <w:rFonts w:hint="eastAsia" w:ascii="Times New Roman" w:eastAsia="宋体"/>
          <w:sz w:val="28"/>
        </w:rPr>
        <w:t>经评价组调研，目前德化县城乡基本养老保险存在经办力量不足和乡镇基层经办队伍不稳定的情况。2022年3月，德化县人社局开展机关社保、社会保险、城乡居民社保“三保”合一改革。改革后，由于中心人员不足，居民保经办力量大大减少，难以满足省中心岗位设置要求。目前德化县居民保业务仅由1人经办，1人审核，1人审批，同时各岗位经办人员还兼任其他险种经办、审核、审批等业务，难免存在业务跟踪不到位的情况。同时，乡镇经办工作局面难以打开。基层经办队伍不稳定，镇、村两级经办人员多为临时人员，身兼数职，存在变动频繁，经办人员政策掌握不全，理解不透、解释不到位，业务水平和工作积极性不高的情况。此项扣2分，得2分。</w:t>
      </w:r>
    </w:p>
    <w:p>
      <w:pPr>
        <w:pStyle w:val="2"/>
        <w:spacing w:after="0" w:line="360" w:lineRule="auto"/>
        <w:ind w:firstLine="560" w:firstLineChars="200"/>
        <w:rPr>
          <w:rFonts w:ascii="Times New Roman" w:eastAsia="宋体"/>
          <w:sz w:val="28"/>
        </w:rPr>
      </w:pPr>
      <w:r>
        <w:rPr>
          <w:rFonts w:hint="eastAsia" w:ascii="Times New Roman" w:eastAsia="宋体"/>
          <w:sz w:val="28"/>
        </w:rPr>
        <w:t>（2）政策宣传（分值为4分）</w:t>
      </w:r>
    </w:p>
    <w:p>
      <w:pPr>
        <w:pStyle w:val="2"/>
        <w:spacing w:after="0" w:line="360" w:lineRule="auto"/>
        <w:ind w:firstLine="560" w:firstLineChars="200"/>
        <w:rPr>
          <w:rFonts w:ascii="Times New Roman" w:eastAsia="宋体"/>
          <w:sz w:val="28"/>
        </w:rPr>
      </w:pPr>
      <w:r>
        <w:rPr>
          <w:rFonts w:hint="eastAsia" w:ascii="Times New Roman" w:eastAsia="宋体"/>
          <w:sz w:val="28"/>
        </w:rPr>
        <w:t>“政策宣传”用于评价是否认真做好城乡居民养老保险政策宣传工作，全面准确地宣传解读政策，正确把握舆论导向，注重运用通俗易懂的语言和群众易于接受的方式，深入基层开展宣传活动，引导城乡居民踊跃参保、持续缴费、增加积累，保障参保人的合法权益。</w:t>
      </w:r>
    </w:p>
    <w:p>
      <w:pPr>
        <w:pStyle w:val="2"/>
        <w:spacing w:after="0" w:line="360" w:lineRule="auto"/>
        <w:ind w:firstLine="560" w:firstLineChars="200"/>
        <w:rPr>
          <w:rFonts w:ascii="Times New Roman" w:eastAsia="宋体"/>
          <w:sz w:val="28"/>
        </w:rPr>
      </w:pPr>
      <w:r>
        <w:rPr>
          <w:rFonts w:hint="eastAsia" w:ascii="Times New Roman" w:eastAsia="宋体"/>
          <w:sz w:val="28"/>
        </w:rPr>
        <w:t>2022年度德化县人社局组织开展养老保险基金管理“警示教育月”行动，组织全体工作人员深入学习习近平总书记关于社会保障工作的重要讲话和重要指示批示精神、十九届中央纪委六次全会精神和社会保险有关法律法规和政策，并观看警示教育片《以案促改防控风险》，通报社保基金违法典型案例，达到用身边事教育身边人、以身边案整改身边事的效果，教育引导社保干部深化思想认识</w:t>
      </w:r>
      <w:r>
        <w:rPr>
          <w:rFonts w:hint="eastAsia" w:ascii="Times New Roman" w:eastAsia="宋体"/>
          <w:sz w:val="28"/>
          <w:lang w:eastAsia="zh-CN"/>
        </w:rPr>
        <w:t>，</w:t>
      </w:r>
      <w:r>
        <w:rPr>
          <w:rFonts w:hint="eastAsia" w:ascii="Times New Roman" w:eastAsia="宋体"/>
          <w:sz w:val="28"/>
        </w:rPr>
        <w:t>强化风险意识，守护基金安全。根据实地调研，德化县大部分进行了城乡居民养老的宣传工作，但也有小部分农村群众反映，在进行养老保险宣传工作中，基层工作者在社区进行政策宣讲相关工作时，未对领取待遇申请标准、申请流程等方面进行深入的宣传，也有部分特殊人群对自己是否符合要求并不确定。根据评分标准，此项得分扣1分，得</w:t>
      </w:r>
      <w:r>
        <w:rPr>
          <w:rFonts w:hint="eastAsia" w:ascii="Times New Roman" w:eastAsia="宋体"/>
          <w:sz w:val="28"/>
          <w:lang w:val="en-US" w:eastAsia="zh-CN"/>
        </w:rPr>
        <w:t>3</w:t>
      </w:r>
      <w:r>
        <w:rPr>
          <w:rFonts w:hint="eastAsia" w:ascii="Times New Roman" w:eastAsia="宋体"/>
          <w:sz w:val="28"/>
        </w:rPr>
        <w:t>分。</w:t>
      </w:r>
    </w:p>
    <w:p>
      <w:pPr>
        <w:pStyle w:val="2"/>
        <w:spacing w:after="0" w:line="360" w:lineRule="auto"/>
        <w:ind w:firstLine="560" w:firstLineChars="200"/>
        <w:rPr>
          <w:rFonts w:ascii="Times New Roman" w:eastAsia="宋体"/>
          <w:sz w:val="28"/>
        </w:rPr>
      </w:pPr>
      <w:r>
        <w:rPr>
          <w:rFonts w:hint="eastAsia" w:ascii="Times New Roman" w:eastAsia="宋体"/>
          <w:sz w:val="28"/>
        </w:rPr>
        <w:t>因此，社会效益得分</w:t>
      </w:r>
      <w:r>
        <w:rPr>
          <w:rFonts w:hint="eastAsia" w:ascii="Times New Roman" w:eastAsia="宋体"/>
          <w:sz w:val="28"/>
          <w:lang w:val="en-US" w:eastAsia="zh-CN"/>
        </w:rPr>
        <w:t>5</w:t>
      </w:r>
      <w:r>
        <w:rPr>
          <w:rFonts w:hint="eastAsia" w:ascii="Times New Roman" w:eastAsia="宋体"/>
          <w:sz w:val="28"/>
        </w:rPr>
        <w:t>分。</w:t>
      </w:r>
    </w:p>
    <w:p>
      <w:pPr>
        <w:pStyle w:val="2"/>
        <w:spacing w:after="0" w:line="360" w:lineRule="auto"/>
        <w:ind w:firstLine="0" w:firstLineChars="0"/>
        <w:jc w:val="left"/>
        <w:outlineLvl w:val="2"/>
        <w:rPr>
          <w:rFonts w:ascii="Times New Roman" w:eastAsia="宋体"/>
          <w:b/>
          <w:sz w:val="28"/>
        </w:rPr>
      </w:pPr>
      <w:bookmarkStart w:id="166" w:name="_Toc21000"/>
      <w:r>
        <w:rPr>
          <w:rFonts w:hint="eastAsia" w:ascii="Times New Roman" w:eastAsia="宋体"/>
          <w:b/>
          <w:sz w:val="28"/>
        </w:rPr>
        <w:t>2.经济效益（分值为8分）</w:t>
      </w:r>
      <w:bookmarkEnd w:id="166"/>
    </w:p>
    <w:p>
      <w:pPr>
        <w:pStyle w:val="2"/>
        <w:spacing w:after="0" w:line="360" w:lineRule="auto"/>
        <w:ind w:firstLine="560" w:firstLineChars="200"/>
        <w:rPr>
          <w:rFonts w:ascii="Times New Roman" w:eastAsia="宋体"/>
          <w:sz w:val="28"/>
        </w:rPr>
      </w:pPr>
      <w:r>
        <w:rPr>
          <w:rFonts w:hint="eastAsia" w:ascii="Times New Roman" w:eastAsia="宋体"/>
          <w:sz w:val="28"/>
        </w:rPr>
        <w:t>经济效益主要从“人均基础养老金提高”和“特殊参保对象受益度”两方面进行评价。</w:t>
      </w:r>
    </w:p>
    <w:p>
      <w:pPr>
        <w:pStyle w:val="2"/>
        <w:spacing w:after="0" w:line="360" w:lineRule="auto"/>
        <w:ind w:firstLine="560" w:firstLineChars="200"/>
        <w:rPr>
          <w:rFonts w:ascii="Times New Roman" w:eastAsia="宋体"/>
          <w:sz w:val="28"/>
        </w:rPr>
      </w:pPr>
      <w:r>
        <w:rPr>
          <w:rFonts w:hint="eastAsia" w:ascii="Times New Roman" w:eastAsia="宋体"/>
          <w:sz w:val="28"/>
        </w:rPr>
        <w:t>（1）人均基础养老金提高（分值为4分）</w:t>
      </w:r>
    </w:p>
    <w:p>
      <w:pPr>
        <w:pStyle w:val="2"/>
        <w:spacing w:after="0" w:line="360" w:lineRule="auto"/>
        <w:ind w:firstLine="560" w:firstLineChars="200"/>
        <w:rPr>
          <w:rFonts w:ascii="Times New Roman" w:eastAsia="宋体"/>
          <w:sz w:val="28"/>
        </w:rPr>
      </w:pPr>
      <w:r>
        <w:rPr>
          <w:rFonts w:hint="eastAsia" w:ascii="Times New Roman" w:eastAsia="宋体"/>
          <w:sz w:val="28"/>
        </w:rPr>
        <w:t>“人均基础养老金提高”用于评价德化县政府是否根据经济发展和物价指数变动等情况，适时调整提高城乡居民养老保险基础养老金月发放标准。反映县级补贴资金对基础养老金的提高是否具有较为显著的效果。</w:t>
      </w:r>
    </w:p>
    <w:p>
      <w:pPr>
        <w:pStyle w:val="2"/>
        <w:spacing w:after="0" w:line="360" w:lineRule="auto"/>
        <w:ind w:firstLine="560" w:firstLineChars="200"/>
        <w:rPr>
          <w:rFonts w:hint="eastAsia" w:ascii="Times New Roman" w:eastAsia="宋体"/>
          <w:sz w:val="28"/>
          <w:lang w:eastAsia="zh-CN"/>
        </w:rPr>
      </w:pPr>
      <w:r>
        <w:rPr>
          <w:rFonts w:hint="eastAsia" w:ascii="Times New Roman" w:eastAsia="宋体"/>
          <w:sz w:val="28"/>
        </w:rPr>
        <w:t>根据德化县人社局提供资料，2021年基础养老金每月最低标准为130元，2022年度，德化县</w:t>
      </w:r>
      <w:r>
        <w:rPr>
          <w:rFonts w:ascii="Times New Roman" w:eastAsia="宋体"/>
          <w:sz w:val="28"/>
        </w:rPr>
        <w:t>根据</w:t>
      </w:r>
      <w:r>
        <w:rPr>
          <w:rFonts w:hint="eastAsia" w:ascii="Times New Roman" w:eastAsia="宋体"/>
          <w:sz w:val="28"/>
        </w:rPr>
        <w:t>经济发展和物价指数变动等情况，适时调整提高城乡居民养老保险基础养老金标准</w:t>
      </w:r>
      <w:r>
        <w:rPr>
          <w:rFonts w:ascii="Times New Roman" w:eastAsia="宋体"/>
          <w:sz w:val="28"/>
        </w:rPr>
        <w:t>，</w:t>
      </w:r>
      <w:r>
        <w:rPr>
          <w:rFonts w:hint="eastAsia" w:ascii="Times New Roman" w:eastAsia="宋体"/>
          <w:sz w:val="28"/>
        </w:rPr>
        <w:t>60周岁以上领取城乡居民养老保险基础养老金标准由人均基础养老金130元提至每人每月140元，有了大幅提升，效果显著。根据评分标准，此项得分4分</w:t>
      </w:r>
      <w:r>
        <w:rPr>
          <w:rFonts w:hint="eastAsia" w:ascii="Times New Roman" w:eastAsia="宋体"/>
          <w:sz w:val="28"/>
          <w:lang w:eastAsia="zh-CN"/>
        </w:rPr>
        <w:t>。</w:t>
      </w:r>
    </w:p>
    <w:p>
      <w:pPr>
        <w:pStyle w:val="2"/>
        <w:spacing w:after="0" w:line="360" w:lineRule="auto"/>
        <w:ind w:firstLine="560" w:firstLineChars="200"/>
        <w:rPr>
          <w:rFonts w:ascii="Times New Roman" w:eastAsia="宋体"/>
          <w:sz w:val="28"/>
        </w:rPr>
      </w:pPr>
      <w:r>
        <w:rPr>
          <w:rFonts w:hint="eastAsia" w:ascii="Times New Roman" w:eastAsia="宋体"/>
          <w:sz w:val="28"/>
        </w:rPr>
        <w:t>（2）特殊参保对象受益度（分值4分）</w:t>
      </w:r>
    </w:p>
    <w:p>
      <w:pPr>
        <w:pStyle w:val="2"/>
        <w:spacing w:after="0" w:line="360" w:lineRule="auto"/>
        <w:ind w:firstLine="560" w:firstLineChars="200"/>
        <w:rPr>
          <w:rFonts w:ascii="Times New Roman" w:eastAsia="宋体"/>
          <w:sz w:val="28"/>
        </w:rPr>
      </w:pPr>
      <w:r>
        <w:rPr>
          <w:rFonts w:hint="eastAsia" w:ascii="Times New Roman" w:eastAsia="宋体"/>
          <w:sz w:val="28"/>
        </w:rPr>
        <w:t>“特殊参保对象受益度”用于反映对参加德化县城乡居民基本养老保险的致贫返贫人口、重度残疾人员、低保对象、特困人员等贫困人员特殊对象的获益程度。</w:t>
      </w:r>
    </w:p>
    <w:p>
      <w:pPr>
        <w:pStyle w:val="2"/>
        <w:spacing w:after="0" w:line="360" w:lineRule="auto"/>
        <w:ind w:firstLine="560" w:firstLineChars="200"/>
        <w:rPr>
          <w:rFonts w:ascii="Times New Roman" w:eastAsia="宋体"/>
          <w:sz w:val="28"/>
        </w:rPr>
      </w:pPr>
      <w:r>
        <w:rPr>
          <w:rFonts w:hint="eastAsia" w:ascii="Times New Roman" w:eastAsia="宋体"/>
          <w:sz w:val="28"/>
        </w:rPr>
        <w:t>根据《关于巩固拓展社会保险扶贫成果助力全面实施乡村振兴战略的通知》（闽人社文〔2021〕127号）等文件精神，2022年度，德化县人社局对参加德化县城乡居民基本养老保险的致贫返贫人口、重度残疾人员、低保对象、特困人员等贫困人员，全额代缴城乡居民基本养老保险最低档次保险费，每人每年200元。</w:t>
      </w:r>
      <w:r>
        <w:rPr>
          <w:rFonts w:hint="eastAsia" w:ascii="Times New Roman" w:eastAsia="宋体"/>
          <w:sz w:val="28"/>
          <w:lang w:eastAsia="zh-CN"/>
        </w:rPr>
        <w:t>截至2022年</w:t>
      </w:r>
      <w:r>
        <w:rPr>
          <w:rFonts w:hint="eastAsia" w:ascii="Times New Roman" w:eastAsia="宋体"/>
          <w:sz w:val="28"/>
        </w:rPr>
        <w:t>12月31日，德化县共认定参加城乡居民养老保险各类特殊身份23552人次，为全额代缴特殊参保对象代缴保费3617人，代缴金额72.23万元。特殊人群受益度效果显著。根据评分标准，此项得分4分。</w:t>
      </w:r>
    </w:p>
    <w:p>
      <w:pPr>
        <w:pStyle w:val="2"/>
        <w:spacing w:after="0" w:line="360" w:lineRule="auto"/>
        <w:ind w:firstLine="560" w:firstLineChars="200"/>
        <w:rPr>
          <w:rFonts w:ascii="Times New Roman" w:eastAsia="宋体"/>
          <w:sz w:val="28"/>
        </w:rPr>
      </w:pPr>
      <w:r>
        <w:rPr>
          <w:rFonts w:hint="eastAsia" w:ascii="Times New Roman" w:eastAsia="宋体"/>
          <w:sz w:val="28"/>
        </w:rPr>
        <w:t>因此，经济效益得分8分。</w:t>
      </w:r>
    </w:p>
    <w:p>
      <w:pPr>
        <w:pStyle w:val="2"/>
        <w:spacing w:after="0" w:line="360" w:lineRule="auto"/>
        <w:ind w:firstLine="0" w:firstLineChars="0"/>
        <w:jc w:val="left"/>
        <w:outlineLvl w:val="2"/>
        <w:rPr>
          <w:rFonts w:ascii="Times New Roman" w:eastAsia="宋体"/>
          <w:b/>
          <w:sz w:val="28"/>
        </w:rPr>
      </w:pPr>
      <w:bookmarkStart w:id="167" w:name="_Toc20762"/>
      <w:r>
        <w:rPr>
          <w:rFonts w:hint="eastAsia" w:ascii="Times New Roman" w:eastAsia="宋体"/>
          <w:b/>
          <w:sz w:val="28"/>
        </w:rPr>
        <w:t>3.可持续效益（分值为8分）</w:t>
      </w:r>
      <w:bookmarkEnd w:id="167"/>
    </w:p>
    <w:p>
      <w:pPr>
        <w:pStyle w:val="2"/>
        <w:spacing w:after="0" w:line="360" w:lineRule="auto"/>
        <w:ind w:firstLine="560" w:firstLineChars="200"/>
        <w:rPr>
          <w:rFonts w:ascii="Times New Roman" w:eastAsia="宋体"/>
          <w:sz w:val="28"/>
        </w:rPr>
      </w:pPr>
      <w:r>
        <w:rPr>
          <w:rFonts w:hint="eastAsia" w:ascii="Times New Roman" w:eastAsia="宋体"/>
          <w:sz w:val="28"/>
        </w:rPr>
        <w:t>可持续效益主要从“个人账户储存额连续性”和“参保率持续水平”两个三级指标进行评价。</w:t>
      </w:r>
    </w:p>
    <w:p>
      <w:pPr>
        <w:pStyle w:val="2"/>
        <w:spacing w:after="0" w:line="360" w:lineRule="auto"/>
        <w:ind w:firstLine="560" w:firstLineChars="200"/>
        <w:rPr>
          <w:rFonts w:ascii="Times New Roman" w:eastAsia="宋体"/>
          <w:sz w:val="28"/>
        </w:rPr>
      </w:pPr>
      <w:r>
        <w:rPr>
          <w:rFonts w:hint="eastAsia" w:ascii="Times New Roman" w:eastAsia="宋体"/>
          <w:sz w:val="28"/>
        </w:rPr>
        <w:t>（1）个人账户储存额连续性（分值为4分）</w:t>
      </w:r>
    </w:p>
    <w:p>
      <w:pPr>
        <w:pStyle w:val="2"/>
        <w:spacing w:after="0" w:line="360" w:lineRule="auto"/>
        <w:ind w:firstLine="560" w:firstLineChars="200"/>
        <w:rPr>
          <w:rFonts w:ascii="Times New Roman" w:eastAsia="宋体"/>
          <w:sz w:val="28"/>
        </w:rPr>
      </w:pPr>
      <w:r>
        <w:rPr>
          <w:rFonts w:hint="eastAsia" w:ascii="Times New Roman" w:eastAsia="宋体"/>
          <w:sz w:val="28"/>
        </w:rPr>
        <w:t>“个人账户储存额连续性”用于评价德化县人社局是否为县城乡居民养老保险经办机构为每位参保人员建立终身记录的养老保险个人账户，是否按照《德化县人民政府关于完善德化县城乡居民基本养老保险的实施意见》（德政〔2014〕367号）的要求进行执行。</w:t>
      </w:r>
    </w:p>
    <w:p>
      <w:pPr>
        <w:pStyle w:val="2"/>
        <w:spacing w:after="0" w:line="360" w:lineRule="auto"/>
        <w:ind w:firstLine="560" w:firstLineChars="200"/>
        <w:rPr>
          <w:rFonts w:ascii="Times New Roman" w:eastAsia="宋体"/>
          <w:sz w:val="28"/>
        </w:rPr>
      </w:pPr>
      <w:r>
        <w:rPr>
          <w:rFonts w:hint="eastAsia" w:ascii="Times New Roman" w:eastAsia="宋体"/>
          <w:sz w:val="28"/>
        </w:rPr>
        <w:t>根据德化县人社局提供资料。2022年度德化县为县城乡居民养老保险经办机构为每位参保人员建立终身记录的养老保险个人账户，个人缴费，集体补助及其他经济组织、社会公益组织、个人对参保人员缴费的资助全部记入个人账户。个人账户储存额按国家和省里有关规定计息，每年参考中国人民银行公布的当年1月1日金融机构人民币一年期存款利率计息。参保人员中断缴费的，其个人账户予以保留，账户储存额连续计息。以后继续缴费的，中断前后的个人账户储存额、缴费年限累计计算。参保人员在缴费期间死亡的，其个人账户全部储存额（包括政府补贴），一次性支付给其法定继承人或指定受益人。根据评分标准，此项得分4分。</w:t>
      </w:r>
    </w:p>
    <w:p>
      <w:pPr>
        <w:pStyle w:val="2"/>
        <w:spacing w:after="0" w:line="360" w:lineRule="auto"/>
        <w:ind w:firstLine="560" w:firstLineChars="200"/>
        <w:rPr>
          <w:rFonts w:ascii="Times New Roman" w:eastAsia="宋体"/>
          <w:sz w:val="28"/>
        </w:rPr>
      </w:pPr>
      <w:r>
        <w:rPr>
          <w:rFonts w:hint="eastAsia" w:ascii="Times New Roman" w:eastAsia="宋体"/>
          <w:sz w:val="28"/>
        </w:rPr>
        <w:t>（2）参保率持续水平增长（分值为4分）</w:t>
      </w:r>
    </w:p>
    <w:p>
      <w:pPr>
        <w:pStyle w:val="2"/>
        <w:spacing w:after="0" w:line="360" w:lineRule="auto"/>
        <w:ind w:firstLine="560" w:firstLineChars="200"/>
        <w:rPr>
          <w:rFonts w:ascii="Times New Roman" w:eastAsia="宋体"/>
          <w:sz w:val="28"/>
        </w:rPr>
      </w:pPr>
      <w:r>
        <w:rPr>
          <w:rFonts w:ascii="Times New Roman" w:eastAsia="宋体"/>
          <w:sz w:val="28"/>
        </w:rPr>
        <w:t>“参保率持续水平</w:t>
      </w:r>
      <w:r>
        <w:rPr>
          <w:rFonts w:hint="eastAsia" w:ascii="Times New Roman" w:eastAsia="宋体"/>
          <w:sz w:val="28"/>
        </w:rPr>
        <w:t>增长</w:t>
      </w:r>
      <w:r>
        <w:rPr>
          <w:rFonts w:ascii="Times New Roman" w:eastAsia="宋体"/>
          <w:sz w:val="28"/>
        </w:rPr>
        <w:t>”用于评价项目资金绩效的后续影响，参保率的提高从一定程度上可以作为项目绩效可持续效益的评判依据。</w:t>
      </w:r>
    </w:p>
    <w:p>
      <w:pPr>
        <w:pStyle w:val="2"/>
        <w:spacing w:after="0" w:line="360" w:lineRule="auto"/>
        <w:ind w:firstLine="560" w:firstLineChars="200"/>
        <w:rPr>
          <w:rFonts w:ascii="Times New Roman" w:eastAsia="宋体"/>
          <w:sz w:val="28"/>
        </w:rPr>
      </w:pPr>
      <w:r>
        <w:rPr>
          <w:rFonts w:hint="eastAsia" w:ascii="Times New Roman" w:eastAsia="宋体"/>
          <w:sz w:val="28"/>
        </w:rPr>
        <w:t>德化</w:t>
      </w:r>
      <w:r>
        <w:rPr>
          <w:rFonts w:ascii="Times New Roman" w:eastAsia="宋体"/>
          <w:sz w:val="28"/>
        </w:rPr>
        <w:t>县</w:t>
      </w:r>
      <w:r>
        <w:rPr>
          <w:rFonts w:hint="eastAsia" w:ascii="Times New Roman" w:eastAsia="宋体"/>
          <w:sz w:val="28"/>
        </w:rPr>
        <w:t>2022</w:t>
      </w:r>
      <w:r>
        <w:rPr>
          <w:rFonts w:ascii="Times New Roman" w:eastAsia="宋体"/>
          <w:sz w:val="28"/>
        </w:rPr>
        <w:t>年</w:t>
      </w:r>
      <w:r>
        <w:rPr>
          <w:rFonts w:hint="eastAsia" w:ascii="Times New Roman" w:eastAsia="宋体"/>
          <w:sz w:val="28"/>
        </w:rPr>
        <w:t>参保人数163221人，同比2021年160919，新增参保2302人，</w:t>
      </w:r>
      <w:r>
        <w:rPr>
          <w:rFonts w:ascii="Times New Roman" w:eastAsia="宋体"/>
          <w:sz w:val="28"/>
        </w:rPr>
        <w:t>参保率持续水平</w:t>
      </w:r>
      <w:r>
        <w:rPr>
          <w:rFonts w:hint="eastAsia" w:ascii="Times New Roman" w:eastAsia="宋体"/>
          <w:sz w:val="28"/>
        </w:rPr>
        <w:t>比例增长了1.4%，根据评分标准，此项得分4分。</w:t>
      </w:r>
    </w:p>
    <w:p>
      <w:pPr>
        <w:pStyle w:val="2"/>
        <w:spacing w:after="0" w:line="360" w:lineRule="auto"/>
        <w:ind w:firstLine="0" w:firstLineChars="0"/>
        <w:jc w:val="left"/>
        <w:outlineLvl w:val="2"/>
        <w:rPr>
          <w:rFonts w:ascii="Times New Roman" w:eastAsia="宋体"/>
          <w:b/>
          <w:sz w:val="28"/>
        </w:rPr>
      </w:pPr>
      <w:bookmarkStart w:id="168" w:name="_Toc18295"/>
      <w:r>
        <w:rPr>
          <w:rFonts w:hint="eastAsia" w:ascii="Times New Roman" w:eastAsia="宋体"/>
          <w:b/>
          <w:sz w:val="28"/>
        </w:rPr>
        <w:t>4.满意度（分值为6分）</w:t>
      </w:r>
      <w:bookmarkEnd w:id="168"/>
    </w:p>
    <w:p>
      <w:pPr>
        <w:pStyle w:val="2"/>
        <w:spacing w:after="0" w:line="360" w:lineRule="auto"/>
        <w:ind w:firstLine="560" w:firstLineChars="200"/>
        <w:rPr>
          <w:rFonts w:ascii="Times New Roman" w:eastAsia="宋体"/>
          <w:sz w:val="28"/>
        </w:rPr>
      </w:pPr>
      <w:r>
        <w:rPr>
          <w:rFonts w:hint="eastAsia" w:ascii="Times New Roman" w:eastAsia="宋体"/>
          <w:sz w:val="28"/>
        </w:rPr>
        <w:t>“满意度”主要从“群众满意度调查”1个三级指标进行评价。</w:t>
      </w:r>
    </w:p>
    <w:p>
      <w:pPr>
        <w:pStyle w:val="2"/>
        <w:spacing w:after="0" w:line="360" w:lineRule="auto"/>
        <w:ind w:firstLine="560" w:firstLineChars="200"/>
        <w:rPr>
          <w:rFonts w:ascii="Times New Roman" w:eastAsia="宋体"/>
          <w:sz w:val="28"/>
        </w:rPr>
      </w:pPr>
      <w:r>
        <w:rPr>
          <w:rFonts w:hint="eastAsia" w:ascii="Times New Roman" w:eastAsia="宋体"/>
          <w:sz w:val="28"/>
        </w:rPr>
        <w:t>“群众满意度调查”指标用于反映群众对情况的满意度。根据社会满意度调查情况，共发出50份，有效问卷48份，满意度为96</w:t>
      </w:r>
      <w:r>
        <w:rPr>
          <w:rFonts w:hint="eastAsia" w:ascii="Times New Roman" w:eastAsia="宋体"/>
          <w:sz w:val="28"/>
          <w:lang w:val="en-US" w:eastAsia="zh-CN"/>
        </w:rPr>
        <w:t>.2</w:t>
      </w:r>
      <w:r>
        <w:rPr>
          <w:rFonts w:hint="eastAsia" w:ascii="Times New Roman" w:eastAsia="宋体"/>
          <w:sz w:val="28"/>
        </w:rPr>
        <w:t>%，根据评分标准，此项得6分。</w:t>
      </w:r>
    </w:p>
    <w:p>
      <w:pPr>
        <w:pStyle w:val="4"/>
        <w:spacing w:before="312" w:beforeLines="100" w:after="156" w:afterLines="50" w:line="360" w:lineRule="auto"/>
        <w:jc w:val="left"/>
        <w:rPr>
          <w:rFonts w:ascii="Times New Roman" w:eastAsia="宋体"/>
          <w:kern w:val="0"/>
          <w:sz w:val="32"/>
          <w:szCs w:val="28"/>
        </w:rPr>
      </w:pPr>
      <w:bookmarkStart w:id="169" w:name="_Toc500226197"/>
      <w:bookmarkStart w:id="170" w:name="_Toc28307"/>
      <w:bookmarkStart w:id="171" w:name="_Hlk495161517"/>
      <w:r>
        <w:rPr>
          <w:rFonts w:hint="eastAsia" w:ascii="Times New Roman" w:eastAsia="宋体"/>
          <w:kern w:val="0"/>
          <w:sz w:val="32"/>
          <w:szCs w:val="28"/>
        </w:rPr>
        <w:t>五、评价结论</w:t>
      </w:r>
      <w:bookmarkEnd w:id="169"/>
      <w:bookmarkEnd w:id="170"/>
      <w:bookmarkStart w:id="172" w:name="_Hlk495159573"/>
    </w:p>
    <w:bookmarkEnd w:id="171"/>
    <w:bookmarkEnd w:id="172"/>
    <w:p>
      <w:pPr>
        <w:pStyle w:val="2"/>
        <w:spacing w:after="0" w:line="360" w:lineRule="auto"/>
        <w:ind w:firstLine="560" w:firstLineChars="200"/>
        <w:rPr>
          <w:rFonts w:ascii="Times New Roman" w:eastAsia="宋体"/>
          <w:sz w:val="28"/>
        </w:rPr>
      </w:pPr>
      <w:r>
        <w:rPr>
          <w:rFonts w:hint="eastAsia" w:ascii="Times New Roman" w:eastAsia="宋体"/>
          <w:sz w:val="28"/>
        </w:rPr>
        <w:t>2022年度</w:t>
      </w:r>
      <w:r>
        <w:rPr>
          <w:rFonts w:hint="eastAsia" w:ascii="Times New Roman" w:eastAsia="宋体"/>
          <w:sz w:val="28"/>
          <w:lang w:val="en-US" w:eastAsia="zh-CN"/>
        </w:rPr>
        <w:t>德化县</w:t>
      </w:r>
      <w:r>
        <w:rPr>
          <w:rFonts w:hint="eastAsia" w:ascii="Times New Roman" w:eastAsia="宋体"/>
          <w:sz w:val="28"/>
        </w:rPr>
        <w:t>城乡居民基本养老保险基金的补助项目绩效总得分91分，评价等级结果为“优”。主要扣分项目有：绩效目标明确性扣1分，制度执行有效性扣1分，绩效自评合规性扣2分，共享机制健全性扣2分，经办队伍稳定性扣2分，政策宣传扣1分。合计共扣分9分。</w:t>
      </w:r>
    </w:p>
    <w:p>
      <w:pPr>
        <w:pStyle w:val="2"/>
        <w:spacing w:before="312" w:beforeLines="100" w:after="156" w:afterLines="50" w:line="360" w:lineRule="auto"/>
        <w:ind w:firstLine="0" w:firstLineChars="0"/>
        <w:jc w:val="left"/>
        <w:outlineLvl w:val="0"/>
        <w:rPr>
          <w:rFonts w:ascii="Times New Roman" w:eastAsia="宋体"/>
          <w:b/>
          <w:sz w:val="32"/>
        </w:rPr>
      </w:pPr>
      <w:bookmarkStart w:id="173" w:name="_Toc27608"/>
      <w:r>
        <w:rPr>
          <w:rFonts w:hint="eastAsia" w:ascii="Times New Roman" w:eastAsia="宋体"/>
          <w:b/>
          <w:sz w:val="32"/>
        </w:rPr>
        <w:t>六、存在问题</w:t>
      </w:r>
      <w:bookmarkEnd w:id="173"/>
    </w:p>
    <w:p>
      <w:pPr>
        <w:pStyle w:val="2"/>
        <w:spacing w:before="156" w:beforeLines="50" w:after="0" w:line="360" w:lineRule="auto"/>
        <w:ind w:firstLine="0" w:firstLineChars="0"/>
        <w:jc w:val="left"/>
        <w:outlineLvl w:val="1"/>
        <w:rPr>
          <w:rFonts w:ascii="Times New Roman" w:eastAsia="宋体"/>
          <w:b/>
          <w:sz w:val="30"/>
        </w:rPr>
      </w:pPr>
      <w:bookmarkStart w:id="174" w:name="_Toc10415"/>
      <w:r>
        <w:rPr>
          <w:rFonts w:hint="eastAsia" w:ascii="Times New Roman" w:eastAsia="宋体"/>
          <w:b/>
          <w:sz w:val="30"/>
        </w:rPr>
        <w:t>（一）信息交换机制不完善</w:t>
      </w:r>
      <w:bookmarkEnd w:id="174"/>
    </w:p>
    <w:p>
      <w:pPr>
        <w:pStyle w:val="2"/>
        <w:spacing w:after="0" w:line="360" w:lineRule="auto"/>
        <w:ind w:firstLine="560" w:firstLineChars="200"/>
        <w:rPr>
          <w:rFonts w:ascii="Times New Roman" w:eastAsia="宋体"/>
          <w:sz w:val="28"/>
        </w:rPr>
      </w:pPr>
      <w:r>
        <w:rPr>
          <w:rFonts w:hint="eastAsia" w:ascii="Times New Roman" w:eastAsia="宋体"/>
          <w:sz w:val="28"/>
        </w:rPr>
        <w:t>城乡居民养老待遇领取资格认证、特殊人群身份认定、重复参保、重复领取等诸多工作需要民政、公安、卫健、税务等相关部门协调配合，数据共享。由于信息交流共享机制不完善，以及部门协助配合积极性不高，提供的数据不及时，社保工作开展难度较高，导致重复参保、重复缴费、重复发放社会保险待遇等问题的发生。</w:t>
      </w:r>
    </w:p>
    <w:p>
      <w:pPr>
        <w:pStyle w:val="2"/>
        <w:spacing w:before="156" w:beforeLines="50" w:after="0" w:line="360" w:lineRule="auto"/>
        <w:ind w:firstLine="0" w:firstLineChars="0"/>
        <w:jc w:val="left"/>
        <w:outlineLvl w:val="1"/>
        <w:rPr>
          <w:rFonts w:ascii="Times New Roman" w:eastAsia="宋体"/>
          <w:b/>
          <w:sz w:val="30"/>
        </w:rPr>
      </w:pPr>
      <w:bookmarkStart w:id="175" w:name="_Toc28389"/>
      <w:r>
        <w:rPr>
          <w:rFonts w:hint="eastAsia" w:ascii="Times New Roman" w:eastAsia="宋体"/>
          <w:b/>
          <w:sz w:val="30"/>
        </w:rPr>
        <w:t>（二）乡镇经办队伍建设有待提高</w:t>
      </w:r>
      <w:bookmarkEnd w:id="175"/>
    </w:p>
    <w:p>
      <w:pPr>
        <w:pStyle w:val="2"/>
        <w:spacing w:after="0" w:line="360" w:lineRule="auto"/>
        <w:ind w:firstLine="560" w:firstLineChars="200"/>
        <w:rPr>
          <w:rFonts w:ascii="Times New Roman" w:eastAsia="宋体"/>
          <w:sz w:val="28"/>
        </w:rPr>
      </w:pPr>
      <w:r>
        <w:rPr>
          <w:rFonts w:hint="eastAsia" w:ascii="Times New Roman" w:eastAsia="宋体"/>
          <w:sz w:val="28"/>
        </w:rPr>
        <w:t>德化县镇、村两级负责养老保险经办人员多为临时人员，变动频繁，基层工作者队伍不稳定直接影响到工作交接不清。同时存在部分基层经办人员政策掌握不全，解释不到位</w:t>
      </w:r>
      <w:r>
        <w:rPr>
          <w:rFonts w:hint="eastAsia" w:ascii="Times New Roman" w:eastAsia="宋体"/>
          <w:sz w:val="28"/>
          <w:lang w:eastAsia="zh-CN"/>
        </w:rPr>
        <w:t>。</w:t>
      </w:r>
      <w:r>
        <w:rPr>
          <w:rFonts w:hint="eastAsia" w:ascii="Times New Roman" w:eastAsia="宋体"/>
          <w:sz w:val="28"/>
        </w:rPr>
        <w:t>业务水平和工作积极性都有待提高。</w:t>
      </w:r>
    </w:p>
    <w:p>
      <w:pPr>
        <w:pStyle w:val="2"/>
        <w:spacing w:before="156" w:beforeLines="50" w:after="0" w:line="360" w:lineRule="auto"/>
        <w:ind w:firstLine="0" w:firstLineChars="0"/>
        <w:jc w:val="left"/>
        <w:outlineLvl w:val="1"/>
        <w:rPr>
          <w:rFonts w:ascii="Times New Roman" w:eastAsia="宋体"/>
          <w:b/>
          <w:sz w:val="30"/>
        </w:rPr>
      </w:pPr>
      <w:bookmarkStart w:id="176" w:name="_Toc5634"/>
      <w:r>
        <w:rPr>
          <w:rFonts w:hint="eastAsia" w:ascii="Times New Roman" w:eastAsia="宋体"/>
          <w:b/>
          <w:sz w:val="30"/>
        </w:rPr>
        <w:t>（三）政策宣传有待进一步加强</w:t>
      </w:r>
      <w:bookmarkEnd w:id="176"/>
    </w:p>
    <w:p>
      <w:pPr>
        <w:pStyle w:val="2"/>
        <w:spacing w:after="0" w:line="360" w:lineRule="auto"/>
        <w:ind w:firstLine="560" w:firstLineChars="200"/>
        <w:rPr>
          <w:rFonts w:ascii="Times New Roman" w:eastAsia="宋体"/>
          <w:sz w:val="28"/>
        </w:rPr>
      </w:pPr>
      <w:r>
        <w:rPr>
          <w:rFonts w:hint="eastAsia" w:ascii="Times New Roman" w:eastAsia="宋体"/>
          <w:sz w:val="28"/>
        </w:rPr>
        <w:t>政策宣传欠深入，群众对政策了解、认识不足，有部分群众反映不太清楚申请的条件和程序</w:t>
      </w:r>
      <w:r>
        <w:rPr>
          <w:rFonts w:hint="eastAsia" w:ascii="Times New Roman" w:eastAsia="宋体"/>
          <w:sz w:val="28"/>
          <w:lang w:eastAsia="zh-CN"/>
        </w:rPr>
        <w:t>，</w:t>
      </w:r>
      <w:r>
        <w:rPr>
          <w:rFonts w:hint="eastAsia" w:ascii="Times New Roman" w:eastAsia="宋体"/>
          <w:sz w:val="28"/>
        </w:rPr>
        <w:t>养老保险宣传工作中，基层工作者在社区进行政策宣讲相关工作时，未对领取待遇申请标准、申请流程等方面进行深入的宣传。也有部分特殊人群对自己是否符合要求并不确定。</w:t>
      </w:r>
    </w:p>
    <w:p>
      <w:pPr>
        <w:pStyle w:val="2"/>
        <w:spacing w:before="312" w:beforeLines="100" w:after="156" w:afterLines="50" w:line="360" w:lineRule="auto"/>
        <w:ind w:firstLine="0" w:firstLineChars="0"/>
        <w:jc w:val="left"/>
        <w:outlineLvl w:val="0"/>
        <w:rPr>
          <w:rFonts w:ascii="Times New Roman" w:eastAsia="宋体"/>
          <w:b/>
          <w:sz w:val="32"/>
        </w:rPr>
      </w:pPr>
      <w:bookmarkStart w:id="177" w:name="_Toc9121"/>
      <w:r>
        <w:rPr>
          <w:rFonts w:hint="eastAsia" w:ascii="Times New Roman" w:eastAsia="宋体"/>
          <w:b/>
          <w:sz w:val="32"/>
        </w:rPr>
        <w:t>七、提出建议</w:t>
      </w:r>
      <w:bookmarkEnd w:id="177"/>
    </w:p>
    <w:p>
      <w:pPr>
        <w:pStyle w:val="2"/>
        <w:spacing w:before="156" w:beforeLines="50" w:after="0" w:line="360" w:lineRule="auto"/>
        <w:ind w:firstLine="0" w:firstLineChars="0"/>
        <w:jc w:val="left"/>
        <w:outlineLvl w:val="1"/>
        <w:rPr>
          <w:rFonts w:ascii="Times New Roman" w:eastAsia="宋体"/>
          <w:b/>
          <w:sz w:val="30"/>
        </w:rPr>
      </w:pPr>
      <w:bookmarkStart w:id="178" w:name="_Toc24916"/>
      <w:r>
        <w:rPr>
          <w:rFonts w:hint="eastAsia" w:ascii="Times New Roman" w:eastAsia="宋体"/>
          <w:b/>
          <w:sz w:val="30"/>
        </w:rPr>
        <w:t>（一</w:t>
      </w:r>
      <w:r>
        <w:rPr>
          <w:rFonts w:hint="eastAsia" w:ascii="Times New Roman" w:eastAsia="宋体"/>
          <w:b/>
          <w:bCs w:val="0"/>
          <w:sz w:val="30"/>
        </w:rPr>
        <w:t>）</w:t>
      </w:r>
      <w:r>
        <w:rPr>
          <w:rFonts w:hint="eastAsia" w:ascii="Times New Roman" w:eastAsia="宋体"/>
          <w:b/>
          <w:bCs w:val="0"/>
          <w:sz w:val="28"/>
        </w:rPr>
        <w:t>优化业务流程</w:t>
      </w:r>
      <w:r>
        <w:rPr>
          <w:rFonts w:hint="eastAsia" w:ascii="Times New Roman" w:eastAsia="宋体"/>
          <w:b/>
          <w:bCs w:val="0"/>
          <w:sz w:val="28"/>
          <w:lang w:val="en-US" w:eastAsia="zh-CN"/>
        </w:rPr>
        <w:t>和</w:t>
      </w:r>
      <w:r>
        <w:rPr>
          <w:rFonts w:hint="eastAsia" w:ascii="Times New Roman" w:eastAsia="宋体"/>
          <w:b/>
          <w:bCs w:val="0"/>
          <w:sz w:val="28"/>
        </w:rPr>
        <w:t>规范业务操作</w:t>
      </w:r>
      <w:bookmarkEnd w:id="178"/>
    </w:p>
    <w:p>
      <w:pPr>
        <w:pStyle w:val="2"/>
        <w:spacing w:after="0" w:line="360" w:lineRule="auto"/>
        <w:ind w:firstLine="560" w:firstLineChars="200"/>
        <w:rPr>
          <w:rFonts w:ascii="Times New Roman" w:eastAsia="宋体"/>
          <w:sz w:val="28"/>
        </w:rPr>
      </w:pPr>
      <w:r>
        <w:rPr>
          <w:rFonts w:hint="eastAsia" w:ascii="Times New Roman" w:eastAsia="宋体"/>
          <w:sz w:val="28"/>
          <w:lang w:val="en-US" w:eastAsia="zh-CN"/>
        </w:rPr>
        <w:t>建议</w:t>
      </w:r>
      <w:r>
        <w:rPr>
          <w:rFonts w:hint="eastAsia" w:ascii="Times New Roman" w:eastAsia="宋体"/>
          <w:sz w:val="28"/>
        </w:rPr>
        <w:t>加强业务经办人员政策及系统操作的学习，持续优化业务流程、规范业务操作。督促乡镇开展村级协理员业务培训会，持续开展城乡居民养老保险政策、“关爱老年人 社保有温度”等宣传活动，让参保对象看得懂、算得清、记得牢。</w:t>
      </w:r>
    </w:p>
    <w:p>
      <w:pPr>
        <w:pStyle w:val="2"/>
        <w:spacing w:before="156" w:beforeLines="50" w:after="0" w:line="360" w:lineRule="auto"/>
        <w:ind w:firstLine="0" w:firstLineChars="0"/>
        <w:jc w:val="left"/>
        <w:outlineLvl w:val="1"/>
        <w:rPr>
          <w:rFonts w:ascii="Times New Roman" w:eastAsia="宋体"/>
          <w:b/>
          <w:sz w:val="30"/>
        </w:rPr>
      </w:pPr>
      <w:bookmarkStart w:id="179" w:name="_Toc26169"/>
      <w:r>
        <w:rPr>
          <w:rFonts w:hint="eastAsia" w:ascii="Times New Roman" w:eastAsia="宋体"/>
          <w:b/>
          <w:sz w:val="30"/>
        </w:rPr>
        <w:t>（二）完善信息交流共享机制</w:t>
      </w:r>
      <w:bookmarkEnd w:id="179"/>
    </w:p>
    <w:p>
      <w:pPr>
        <w:pStyle w:val="2"/>
        <w:spacing w:after="0" w:line="360" w:lineRule="auto"/>
        <w:ind w:firstLine="560" w:firstLineChars="200"/>
        <w:rPr>
          <w:rFonts w:ascii="Times New Roman" w:eastAsia="宋体"/>
          <w:sz w:val="28"/>
        </w:rPr>
      </w:pPr>
      <w:r>
        <w:rPr>
          <w:rFonts w:hint="eastAsia" w:ascii="Times New Roman" w:eastAsia="宋体"/>
          <w:sz w:val="28"/>
          <w:lang w:val="en-US" w:eastAsia="zh-CN"/>
        </w:rPr>
        <w:t>针对</w:t>
      </w:r>
      <w:r>
        <w:rPr>
          <w:rFonts w:hint="eastAsia" w:ascii="Times New Roman" w:eastAsia="宋体"/>
          <w:sz w:val="28"/>
        </w:rPr>
        <w:t>部门信息交流数据共享</w:t>
      </w:r>
      <w:r>
        <w:rPr>
          <w:rFonts w:hint="eastAsia" w:ascii="Times New Roman" w:eastAsia="宋体"/>
          <w:sz w:val="28"/>
          <w:lang w:val="en-US" w:eastAsia="zh-CN"/>
        </w:rPr>
        <w:t>存在问题</w:t>
      </w:r>
      <w:r>
        <w:rPr>
          <w:rFonts w:hint="eastAsia" w:ascii="Times New Roman" w:eastAsia="宋体"/>
          <w:sz w:val="28"/>
        </w:rPr>
        <w:t>，</w:t>
      </w:r>
      <w:r>
        <w:rPr>
          <w:rFonts w:hint="eastAsia" w:ascii="Times New Roman" w:eastAsia="宋体"/>
          <w:sz w:val="28"/>
          <w:lang w:val="en-US" w:eastAsia="zh-CN"/>
        </w:rPr>
        <w:t>建议</w:t>
      </w:r>
      <w:r>
        <w:rPr>
          <w:rFonts w:hint="eastAsia" w:ascii="Times New Roman" w:eastAsia="宋体"/>
          <w:sz w:val="28"/>
        </w:rPr>
        <w:t>从同级的公安、民政、残联等部门获取相关数据进行比对，把结果发到各乡镇（街道）进行入户排查，根据认定部门提供的特殊群体动态数据，持续做好特殊参保身份认定、参保、代缴工作，并配合税务部门做好年度缴费扣款工作。</w:t>
      </w:r>
    </w:p>
    <w:p>
      <w:pPr>
        <w:pStyle w:val="2"/>
        <w:spacing w:before="156" w:beforeLines="50" w:after="0" w:line="360" w:lineRule="auto"/>
        <w:ind w:firstLine="0" w:firstLineChars="0"/>
        <w:jc w:val="left"/>
        <w:outlineLvl w:val="1"/>
        <w:rPr>
          <w:rFonts w:ascii="Times New Roman" w:eastAsia="宋体"/>
          <w:b/>
          <w:sz w:val="30"/>
        </w:rPr>
      </w:pPr>
      <w:bookmarkStart w:id="180" w:name="_Toc2176"/>
      <w:r>
        <w:rPr>
          <w:rFonts w:hint="eastAsia" w:ascii="Times New Roman" w:eastAsia="宋体"/>
          <w:b/>
          <w:sz w:val="30"/>
        </w:rPr>
        <w:t>（三）利用社交媒体平台多种途径进行政策宣传</w:t>
      </w:r>
      <w:bookmarkEnd w:id="180"/>
    </w:p>
    <w:p>
      <w:pPr>
        <w:pStyle w:val="2"/>
        <w:spacing w:after="0" w:line="360" w:lineRule="auto"/>
        <w:ind w:firstLine="560" w:firstLineChars="200"/>
        <w:rPr>
          <w:rFonts w:hint="eastAsia" w:ascii="Times New Roman" w:eastAsia="宋体"/>
          <w:sz w:val="28"/>
        </w:rPr>
      </w:pPr>
      <w:r>
        <w:rPr>
          <w:rFonts w:hint="eastAsia" w:ascii="Times New Roman" w:eastAsia="宋体"/>
          <w:sz w:val="28"/>
        </w:rPr>
        <w:t>宣传方面，建议通过多种途径进行广泛宣传。可以借助互联网和社交媒体平台，开设专题页面或账号，定期发布相关资讯、政策解读、常见问题解答等内容，方便群众随时获取信息并提出疑问。还可以组织一些宣传活动，如座谈会、讲座等形式，邀请专家学者或相关部门人员进行现场解读，另外，通过招募、培训志愿者，组织他们深入村庄开展宣传活动和咨询服务</w:t>
      </w:r>
      <w:bookmarkStart w:id="181" w:name="_Toc91066780"/>
      <w:bookmarkStart w:id="182" w:name="_Toc91085985"/>
      <w:bookmarkStart w:id="183" w:name="_Toc91066835"/>
      <w:bookmarkStart w:id="184" w:name="_Toc6885"/>
      <w:r>
        <w:rPr>
          <w:rFonts w:hint="eastAsia" w:ascii="Times New Roman" w:eastAsia="宋体"/>
          <w:sz w:val="28"/>
        </w:rPr>
        <w:t>。</w:t>
      </w:r>
    </w:p>
    <w:p>
      <w:pPr>
        <w:snapToGrid/>
        <w:spacing w:before="312" w:beforeLines="100" w:beforeAutospacing="0" w:after="156" w:afterLines="50" w:afterAutospacing="0" w:line="360" w:lineRule="auto"/>
        <w:ind w:left="0" w:leftChars="0" w:right="0" w:rightChars="0" w:firstLine="0" w:firstLineChars="0"/>
        <w:jc w:val="left"/>
        <w:outlineLvl w:val="0"/>
        <w:rPr>
          <w:rFonts w:hint="eastAsia" w:ascii="Times New Roman" w:hAnsi="宋体" w:eastAsia="宋体" w:cs="宋体"/>
          <w:b/>
          <w:spacing w:val="4"/>
          <w:kern w:val="2"/>
          <w:sz w:val="32"/>
          <w:szCs w:val="32"/>
          <w:highlight w:val="none"/>
        </w:rPr>
      </w:pPr>
      <w:bookmarkStart w:id="185" w:name="_Toc3575"/>
      <w:bookmarkStart w:id="186" w:name="_Toc6879"/>
      <w:r>
        <w:rPr>
          <w:rFonts w:hint="eastAsia" w:ascii="Times New Roman" w:hAnsi="宋体" w:eastAsia="宋体" w:cs="宋体"/>
          <w:b/>
          <w:spacing w:val="4"/>
          <w:kern w:val="2"/>
          <w:sz w:val="32"/>
          <w:szCs w:val="32"/>
          <w:highlight w:val="none"/>
          <w:lang w:val="en-US" w:eastAsia="zh-CN"/>
        </w:rPr>
        <w:t>八、</w:t>
      </w:r>
      <w:r>
        <w:rPr>
          <w:rFonts w:hint="eastAsia" w:ascii="Times New Roman" w:hAnsi="宋体" w:eastAsia="宋体" w:cs="宋体"/>
          <w:b/>
          <w:spacing w:val="4"/>
          <w:kern w:val="2"/>
          <w:sz w:val="32"/>
          <w:szCs w:val="32"/>
          <w:highlight w:val="none"/>
        </w:rPr>
        <w:t>其他需要说明的问题</w:t>
      </w:r>
      <w:bookmarkEnd w:id="185"/>
      <w:bookmarkEnd w:id="186"/>
    </w:p>
    <w:p>
      <w:pPr>
        <w:snapToGrid/>
        <w:spacing w:beforeAutospacing="0" w:afterAutospacing="0" w:line="360" w:lineRule="auto"/>
        <w:ind w:left="0" w:leftChars="0" w:firstLine="560" w:firstLineChars="200"/>
        <w:rPr>
          <w:rFonts w:hint="eastAsia" w:ascii="Times New Roman" w:eastAsia="宋体"/>
          <w:sz w:val="28"/>
          <w:szCs w:val="28"/>
          <w:lang w:val="zh-TW" w:eastAsia="zh-CN"/>
        </w:rPr>
      </w:pPr>
      <w:r>
        <w:rPr>
          <w:rFonts w:hint="eastAsia" w:ascii="Times New Roman" w:eastAsia="宋体"/>
          <w:sz w:val="28"/>
          <w:szCs w:val="28"/>
          <w:lang w:val="zh-TW" w:eastAsia="zh-CN"/>
        </w:rPr>
        <w:t>本报告中“2022年度</w:t>
      </w:r>
      <w:r>
        <w:rPr>
          <w:rFonts w:hint="eastAsia" w:ascii="Times New Roman" w:eastAsia="宋体"/>
          <w:sz w:val="28"/>
          <w:szCs w:val="28"/>
          <w:lang w:val="en-US" w:eastAsia="zh-CN"/>
        </w:rPr>
        <w:t>城乡居民基本养老保险</w:t>
      </w:r>
      <w:r>
        <w:rPr>
          <w:rFonts w:hint="eastAsia" w:ascii="Times New Roman" w:eastAsia="宋体"/>
          <w:sz w:val="28"/>
          <w:szCs w:val="28"/>
          <w:lang w:val="zh-TW" w:eastAsia="zh-CN"/>
        </w:rPr>
        <w:t>专项资金”相关数据，均以项目单位提供的项目支出明细账、财务报表为来源依据。</w:t>
      </w:r>
    </w:p>
    <w:p>
      <w:pPr>
        <w:pStyle w:val="2"/>
        <w:snapToGrid/>
        <w:spacing w:beforeAutospacing="0" w:after="0" w:afterAutospacing="0" w:line="360" w:lineRule="auto"/>
        <w:ind w:left="0" w:leftChars="0" w:firstLine="0" w:firstLineChars="0"/>
        <w:rPr>
          <w:rFonts w:hint="eastAsia" w:ascii="Times New Roman" w:eastAsia="宋体"/>
          <w:sz w:val="28"/>
          <w:lang w:val="zh-TW" w:eastAsia="zh-CN"/>
        </w:rPr>
      </w:pPr>
    </w:p>
    <w:p>
      <w:pPr>
        <w:pStyle w:val="2"/>
        <w:snapToGrid/>
        <w:spacing w:beforeAutospacing="0" w:after="0" w:afterAutospacing="0" w:line="360" w:lineRule="auto"/>
        <w:ind w:left="0" w:leftChars="0" w:firstLine="0" w:firstLineChars="0"/>
        <w:rPr>
          <w:rFonts w:hint="eastAsia" w:ascii="Times New Roman" w:eastAsia="宋体"/>
          <w:sz w:val="28"/>
          <w:lang w:val="zh-TW" w:eastAsia="zh-CN"/>
        </w:rPr>
      </w:pPr>
    </w:p>
    <w:p>
      <w:pPr>
        <w:snapToGrid/>
        <w:spacing w:beforeAutospacing="0" w:afterAutospacing="0" w:line="360" w:lineRule="auto"/>
        <w:ind w:left="0" w:leftChars="0" w:firstLine="560" w:firstLineChars="200"/>
        <w:jc w:val="right"/>
        <w:rPr>
          <w:rFonts w:hint="eastAsia" w:ascii="Times New Roman" w:eastAsia="宋体"/>
          <w:sz w:val="28"/>
          <w:szCs w:val="28"/>
          <w:lang w:val="zh-TW" w:eastAsia="zh-CN"/>
        </w:rPr>
      </w:pPr>
      <w:r>
        <w:rPr>
          <w:rFonts w:hint="eastAsia" w:ascii="Times New Roman" w:eastAsia="宋体"/>
          <w:sz w:val="28"/>
          <w:szCs w:val="28"/>
          <w:lang w:val="zh-TW" w:eastAsia="zh-CN"/>
        </w:rPr>
        <w:t>泉州市启程财务咨询有限公司</w:t>
      </w:r>
    </w:p>
    <w:p>
      <w:pPr>
        <w:snapToGrid/>
        <w:spacing w:beforeAutospacing="0" w:afterAutospacing="0" w:line="360" w:lineRule="auto"/>
        <w:ind w:left="0" w:leftChars="0" w:firstLine="560" w:firstLineChars="200"/>
        <w:jc w:val="center"/>
        <w:rPr>
          <w:rFonts w:hint="eastAsia" w:ascii="Times New Roman" w:eastAsia="宋体"/>
          <w:sz w:val="28"/>
          <w:highlight w:val="none"/>
          <w:lang w:eastAsia="zh-CN"/>
        </w:rPr>
      </w:pPr>
      <w:r>
        <w:rPr>
          <w:rFonts w:hint="eastAsia" w:ascii="Times New Roman" w:eastAsia="宋体"/>
          <w:sz w:val="28"/>
          <w:szCs w:val="28"/>
          <w:lang w:val="en-US" w:eastAsia="zh-CN"/>
        </w:rPr>
        <w:t xml:space="preserve">                                </w:t>
      </w:r>
      <w:r>
        <w:rPr>
          <w:rFonts w:hint="eastAsia" w:ascii="Times New Roman" w:eastAsia="宋体"/>
          <w:sz w:val="28"/>
          <w:szCs w:val="28"/>
          <w:lang w:val="zh-TW" w:eastAsia="zh-CN"/>
        </w:rPr>
        <w:t>2023年</w:t>
      </w:r>
      <w:r>
        <w:rPr>
          <w:rFonts w:hint="eastAsia" w:ascii="Times New Roman" w:eastAsia="宋体"/>
          <w:sz w:val="28"/>
          <w:szCs w:val="28"/>
          <w:lang w:val="en-US" w:eastAsia="zh-CN"/>
        </w:rPr>
        <w:t>11</w:t>
      </w:r>
      <w:r>
        <w:rPr>
          <w:rFonts w:hint="eastAsia" w:ascii="Times New Roman" w:eastAsia="宋体"/>
          <w:sz w:val="28"/>
          <w:szCs w:val="28"/>
          <w:lang w:val="zh-TW" w:eastAsia="zh-CN"/>
        </w:rPr>
        <w:t>月2</w:t>
      </w:r>
      <w:r>
        <w:rPr>
          <w:rFonts w:hint="eastAsia" w:ascii="Times New Roman" w:eastAsia="宋体"/>
          <w:sz w:val="28"/>
          <w:szCs w:val="28"/>
          <w:lang w:val="en-US" w:eastAsia="zh-CN"/>
        </w:rPr>
        <w:t>5</w:t>
      </w:r>
      <w:r>
        <w:rPr>
          <w:rFonts w:hint="eastAsia" w:ascii="Times New Roman" w:eastAsia="宋体"/>
          <w:sz w:val="28"/>
          <w:szCs w:val="28"/>
          <w:lang w:val="zh-TW" w:eastAsia="zh-CN"/>
        </w:rPr>
        <w:t>日</w:t>
      </w:r>
    </w:p>
    <w:p>
      <w:pPr>
        <w:pStyle w:val="19"/>
        <w:spacing w:after="0" w:line="360" w:lineRule="auto"/>
        <w:ind w:left="0" w:leftChars="0" w:firstLine="0" w:firstLineChars="0"/>
        <w:jc w:val="left"/>
        <w:rPr>
          <w:rFonts w:hAnsi="仿宋" w:cs="仿宋"/>
          <w:kern w:val="0"/>
          <w:sz w:val="28"/>
          <w:szCs w:val="32"/>
        </w:rPr>
      </w:pPr>
    </w:p>
    <w:p>
      <w:pPr>
        <w:pStyle w:val="19"/>
        <w:spacing w:after="0" w:line="360" w:lineRule="auto"/>
        <w:ind w:left="0" w:leftChars="0" w:firstLine="0" w:firstLineChars="0"/>
        <w:jc w:val="left"/>
        <w:rPr>
          <w:rFonts w:hint="eastAsia" w:hAnsi="仿宋" w:cs="仿宋"/>
          <w:kern w:val="0"/>
          <w:sz w:val="28"/>
          <w:szCs w:val="32"/>
        </w:rPr>
      </w:pPr>
    </w:p>
    <w:p>
      <w:pPr>
        <w:pStyle w:val="19"/>
        <w:spacing w:after="0" w:line="360" w:lineRule="auto"/>
        <w:ind w:left="0" w:leftChars="0" w:firstLine="0" w:firstLineChars="0"/>
        <w:jc w:val="left"/>
        <w:rPr>
          <w:rFonts w:hint="eastAsia" w:hAnsi="仿宋" w:cs="仿宋"/>
          <w:kern w:val="0"/>
          <w:sz w:val="28"/>
          <w:szCs w:val="32"/>
        </w:rPr>
      </w:pPr>
    </w:p>
    <w:p>
      <w:pPr>
        <w:pStyle w:val="19"/>
        <w:spacing w:after="0" w:line="360" w:lineRule="auto"/>
        <w:ind w:left="0" w:leftChars="0" w:firstLine="0" w:firstLineChars="0"/>
        <w:jc w:val="left"/>
        <w:rPr>
          <w:rFonts w:hAnsi="仿宋" w:cs="仿宋"/>
          <w:kern w:val="0"/>
          <w:sz w:val="28"/>
          <w:szCs w:val="32"/>
        </w:rPr>
      </w:pPr>
      <w:r>
        <w:rPr>
          <w:rFonts w:hint="eastAsia" w:hAnsi="仿宋" w:cs="仿宋"/>
          <w:kern w:val="0"/>
          <w:sz w:val="28"/>
          <w:szCs w:val="32"/>
        </w:rPr>
        <w:t>附件1：</w:t>
      </w:r>
      <w:bookmarkEnd w:id="181"/>
      <w:bookmarkEnd w:id="182"/>
      <w:bookmarkEnd w:id="183"/>
      <w:bookmarkEnd w:id="184"/>
    </w:p>
    <w:p>
      <w:pPr>
        <w:spacing w:line="360" w:lineRule="auto"/>
        <w:outlineLvl w:val="0"/>
        <w:rPr>
          <w:rFonts w:ascii="Times New Roman" w:eastAsia="宋体"/>
          <w:sz w:val="28"/>
        </w:rPr>
      </w:pPr>
      <w:bookmarkStart w:id="187" w:name="_Toc14040"/>
      <w:bookmarkStart w:id="188" w:name="_Toc31513"/>
      <w:r>
        <w:rPr>
          <w:rFonts w:hint="eastAsia" w:ascii="Times New Roman" w:hAnsi="宋体" w:eastAsia="宋体" w:cs="宋体"/>
          <w:b/>
          <w:bCs/>
          <w:sz w:val="28"/>
          <w:szCs w:val="28"/>
        </w:rPr>
        <w:t>2022年度德化县城乡居民基本养老保险补助资金</w:t>
      </w:r>
      <w:bookmarkEnd w:id="187"/>
      <w:r>
        <w:rPr>
          <w:rFonts w:hint="eastAsia" w:ascii="Times New Roman" w:hAnsi="宋体" w:eastAsia="宋体" w:cs="宋体"/>
          <w:b/>
          <w:kern w:val="44"/>
          <w:sz w:val="28"/>
          <w:szCs w:val="28"/>
        </w:rPr>
        <w:t>满意度调查问卷</w:t>
      </w:r>
      <w:bookmarkEnd w:id="188"/>
    </w:p>
    <w:p>
      <w:pPr>
        <w:spacing w:line="360" w:lineRule="auto"/>
        <w:jc w:val="left"/>
        <w:rPr>
          <w:rFonts w:ascii="Times New Roman" w:hAnsi="宋体" w:eastAsia="宋体" w:cs="宋体"/>
          <w:sz w:val="28"/>
          <w:szCs w:val="28"/>
        </w:rPr>
      </w:pPr>
      <w:r>
        <w:rPr>
          <w:rFonts w:hint="eastAsia" w:ascii="Times New Roman" w:hAnsi="宋体" w:eastAsia="宋体" w:cs="宋体"/>
          <w:sz w:val="28"/>
          <w:szCs w:val="28"/>
        </w:rPr>
        <w:t>尊敬的填表人：</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您好！</w:t>
      </w:r>
    </w:p>
    <w:p>
      <w:pPr>
        <w:spacing w:line="360" w:lineRule="auto"/>
        <w:ind w:firstLine="560" w:firstLineChars="200"/>
        <w:jc w:val="left"/>
        <w:rPr>
          <w:rFonts w:ascii="Times New Roman" w:hAnsi="宋体" w:eastAsia="宋体" w:cs="宋体"/>
          <w:sz w:val="28"/>
          <w:szCs w:val="28"/>
        </w:rPr>
      </w:pPr>
      <w:r>
        <w:rPr>
          <w:rFonts w:hint="eastAsia" w:ascii="Times New Roman" w:hAnsi="宋体" w:eastAsia="宋体" w:cs="宋体"/>
          <w:sz w:val="28"/>
          <w:szCs w:val="28"/>
        </w:rPr>
        <w:t>为了充分了解2022年度德化县城乡居民基本养老保险补助专项资金项目资金情况，现需对该项目满意度调查，敬请按照实际情况填写，感谢您的配合！</w:t>
      </w:r>
    </w:p>
    <w:p>
      <w:pPr>
        <w:spacing w:line="360" w:lineRule="auto"/>
        <w:ind w:firstLine="562" w:firstLineChars="200"/>
        <w:jc w:val="left"/>
        <w:rPr>
          <w:rFonts w:ascii="Times New Roman" w:hAnsi="宋体" w:eastAsia="宋体" w:cs="宋体"/>
          <w:b/>
          <w:bCs/>
          <w:sz w:val="28"/>
          <w:szCs w:val="28"/>
        </w:rPr>
      </w:pPr>
      <w:r>
        <w:rPr>
          <w:rFonts w:hint="eastAsia" w:ascii="Times New Roman" w:hAnsi="宋体" w:eastAsia="宋体" w:cs="宋体"/>
          <w:b/>
          <w:bCs/>
          <w:sz w:val="28"/>
          <w:szCs w:val="28"/>
        </w:rPr>
        <w:t>请在所选答案的序号上划“√”，或将答案填写在相应的横线上</w:t>
      </w:r>
    </w:p>
    <w:p>
      <w:pPr>
        <w:spacing w:line="360" w:lineRule="auto"/>
        <w:ind w:firstLine="560" w:firstLineChars="200"/>
        <w:jc w:val="left"/>
        <w:rPr>
          <w:rFonts w:ascii="Times New Roman" w:hAnsi="宋体" w:eastAsia="宋体" w:cs="宋体"/>
          <w:sz w:val="28"/>
          <w:szCs w:val="28"/>
        </w:rPr>
      </w:pPr>
    </w:p>
    <w:p>
      <w:pPr>
        <w:pStyle w:val="12"/>
        <w:spacing w:line="360" w:lineRule="auto"/>
        <w:ind w:firstLine="576" w:firstLineChars="200"/>
        <w:jc w:val="left"/>
        <w:rPr>
          <w:rFonts w:ascii="Times New Roman" w:hAnsi="宋体" w:eastAsia="宋体" w:cs="宋体"/>
          <w:spacing w:val="4"/>
          <w:sz w:val="28"/>
          <w:szCs w:val="28"/>
        </w:rPr>
      </w:pPr>
    </w:p>
    <w:p>
      <w:pPr>
        <w:pStyle w:val="30"/>
        <w:spacing w:line="360" w:lineRule="auto"/>
        <w:ind w:left="0" w:firstLine="560" w:firstLineChars="200"/>
        <w:jc w:val="left"/>
        <w:rPr>
          <w:rFonts w:ascii="Times New Roman" w:hAnsi="宋体" w:cs="宋体"/>
          <w:sz w:val="28"/>
          <w:szCs w:val="28"/>
        </w:rPr>
      </w:pPr>
    </w:p>
    <w:p>
      <w:pPr>
        <w:spacing w:line="360" w:lineRule="auto"/>
        <w:ind w:firstLine="576" w:firstLineChars="200"/>
        <w:jc w:val="right"/>
        <w:rPr>
          <w:rFonts w:ascii="Times New Roman" w:hAnsi="宋体" w:eastAsia="宋体" w:cs="宋体"/>
          <w:spacing w:val="4"/>
          <w:sz w:val="28"/>
          <w:szCs w:val="28"/>
        </w:rPr>
      </w:pPr>
      <w:r>
        <w:rPr>
          <w:rFonts w:hint="eastAsia" w:ascii="Times New Roman" w:hAnsi="宋体" w:eastAsia="宋体" w:cs="宋体"/>
          <w:spacing w:val="4"/>
          <w:sz w:val="28"/>
          <w:szCs w:val="28"/>
        </w:rPr>
        <w:t xml:space="preserve">泉州市启程财务咨询有限公司     </w:t>
      </w:r>
    </w:p>
    <w:p>
      <w:pPr>
        <w:spacing w:line="360" w:lineRule="auto"/>
        <w:ind w:firstLine="576" w:firstLineChars="200"/>
        <w:jc w:val="center"/>
        <w:rPr>
          <w:rFonts w:ascii="Times New Roman" w:hAnsi="宋体" w:eastAsia="宋体" w:cs="宋体"/>
          <w:sz w:val="28"/>
          <w:szCs w:val="28"/>
        </w:rPr>
      </w:pPr>
      <w:r>
        <w:rPr>
          <w:rFonts w:hint="eastAsia" w:ascii="Times New Roman" w:hAnsi="宋体" w:eastAsia="宋体" w:cs="宋体"/>
          <w:spacing w:val="4"/>
          <w:sz w:val="28"/>
          <w:szCs w:val="28"/>
        </w:rPr>
        <w:t xml:space="preserve">                             年   月    日   </w:t>
      </w:r>
    </w:p>
    <w:p>
      <w:pPr>
        <w:spacing w:line="360" w:lineRule="auto"/>
        <w:jc w:val="left"/>
        <w:rPr>
          <w:rFonts w:hint="eastAsia" w:ascii="Times New Roman" w:hAnsi="仿宋" w:eastAsia="宋体" w:cs="仿宋"/>
          <w:sz w:val="28"/>
          <w:szCs w:val="28"/>
        </w:rPr>
      </w:pPr>
    </w:p>
    <w:p>
      <w:pPr>
        <w:spacing w:line="360" w:lineRule="auto"/>
        <w:jc w:val="left"/>
        <w:rPr>
          <w:rFonts w:hint="eastAsia" w:ascii="Times New Roman" w:hAnsi="仿宋" w:eastAsia="宋体" w:cs="仿宋"/>
          <w:sz w:val="28"/>
          <w:szCs w:val="28"/>
        </w:rPr>
      </w:pPr>
    </w:p>
    <w:p>
      <w:pPr>
        <w:spacing w:line="360" w:lineRule="auto"/>
        <w:jc w:val="left"/>
        <w:rPr>
          <w:rFonts w:hint="eastAsia" w:ascii="Times New Roman" w:hAnsi="仿宋" w:eastAsia="宋体" w:cs="仿宋"/>
          <w:sz w:val="28"/>
          <w:szCs w:val="28"/>
        </w:rPr>
      </w:pPr>
    </w:p>
    <w:p>
      <w:pPr>
        <w:pStyle w:val="12"/>
        <w:rPr>
          <w:rFonts w:hint="eastAsia" w:ascii="Times New Roman" w:hAnsi="仿宋" w:eastAsia="宋体" w:cs="仿宋"/>
          <w:sz w:val="28"/>
          <w:szCs w:val="28"/>
        </w:rPr>
      </w:pPr>
    </w:p>
    <w:p>
      <w:pPr>
        <w:rPr>
          <w:rFonts w:hint="eastAsia"/>
        </w:rPr>
      </w:pPr>
    </w:p>
    <w:p>
      <w:pPr>
        <w:rPr>
          <w:rFonts w:hint="eastAsia"/>
        </w:rPr>
      </w:pPr>
    </w:p>
    <w:p>
      <w:pPr>
        <w:spacing w:line="360" w:lineRule="auto"/>
        <w:jc w:val="left"/>
        <w:rPr>
          <w:rFonts w:hint="eastAsia" w:ascii="Times New Roman" w:hAnsi="仿宋" w:eastAsia="宋体" w:cs="仿宋"/>
          <w:sz w:val="28"/>
          <w:szCs w:val="28"/>
        </w:rPr>
      </w:pPr>
    </w:p>
    <w:p>
      <w:pPr>
        <w:spacing w:line="360" w:lineRule="auto"/>
        <w:jc w:val="left"/>
        <w:rPr>
          <w:rFonts w:hint="eastAsia" w:ascii="Times New Roman" w:hAnsi="仿宋" w:eastAsia="宋体" w:cs="仿宋"/>
          <w:sz w:val="28"/>
          <w:szCs w:val="28"/>
        </w:rPr>
      </w:pPr>
    </w:p>
    <w:p>
      <w:pPr>
        <w:spacing w:line="360" w:lineRule="auto"/>
        <w:jc w:val="left"/>
        <w:rPr>
          <w:rFonts w:hint="eastAsia" w:ascii="Times New Roman" w:hAnsi="仿宋" w:eastAsia="宋体" w:cs="仿宋"/>
          <w:sz w:val="28"/>
          <w:szCs w:val="28"/>
        </w:rPr>
      </w:pPr>
    </w:p>
    <w:p>
      <w:pPr>
        <w:spacing w:line="360" w:lineRule="auto"/>
        <w:jc w:val="left"/>
        <w:rPr>
          <w:rFonts w:hint="eastAsia" w:ascii="Times New Roman" w:hAnsi="仿宋" w:eastAsia="宋体" w:cs="仿宋"/>
          <w:sz w:val="28"/>
          <w:szCs w:val="28"/>
        </w:rPr>
      </w:pPr>
    </w:p>
    <w:p>
      <w:pPr>
        <w:spacing w:line="360" w:lineRule="auto"/>
        <w:jc w:val="left"/>
        <w:rPr>
          <w:rFonts w:ascii="Times New Roman" w:hAnsi="仿宋" w:eastAsia="宋体" w:cs="仿宋"/>
          <w:sz w:val="28"/>
          <w:szCs w:val="28"/>
        </w:rPr>
      </w:pPr>
      <w:r>
        <w:rPr>
          <w:rFonts w:hint="eastAsia" w:ascii="Times New Roman" w:hAnsi="仿宋" w:eastAsia="宋体" w:cs="仿宋"/>
          <w:sz w:val="28"/>
          <w:szCs w:val="28"/>
        </w:rPr>
        <w:t xml:space="preserve">填写日期： 年 月 日 </w:t>
      </w:r>
    </w:p>
    <w:tbl>
      <w:tblPr>
        <w:tblStyle w:val="20"/>
        <w:tblW w:w="5007" w:type="pct"/>
        <w:jc w:val="center"/>
        <w:tblDescription w:val="{&quot;row&quot;:{&quot;emphasizeNum&quot;:1,&quot;emphasizeType&quot;:1,&quot;originStyle&quot;:{&quot;bBoldFont&quot;:true,&quot;bValid&quot;:true,&quot;backgroundColor&quot;:&quot;#363636&quot;,&quot;borders&quot;:[{&quot;borderColor&quot;:&quot;#fefefe&quot;,&quot;borderType&quot;:-4,&quot;lineStyle&quot;:1,&quot;lineWidth&quot;:8},{&quot;borderColor&quot;:&quot;#ffffff&quot;,&quot;borderType&quot;:-3,&quot;lineStyle&quot;:1,&quot;lineWidth&quot;:8},{&quot;borderColor&quot;:&quot;#ffffff&quot;,&quot;borderType&quot;:-2,&quot;lineStyle&quot;:1,&quot;lineWidth&quot;:8},{&quot;borderColor&quot;:&quot;#ffffff&quot;,&quot;borderType&quot;:-1,&quot;lineStyle&quot;:1,&quot;lineWidth&quot;:8}],&quot;fontColor&quot;:&quot;#ffffff&quot;}},&quot;styleId&quot;: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646"/>
        <w:gridCol w:w="1161"/>
        <w:gridCol w:w="647"/>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94" w:type="pct"/>
            <w:tcBorders>
              <w:top w:val="single" w:color="FEFEFE" w:sz="8" w:space="0"/>
              <w:left w:val="single" w:color="FEFEFE" w:sz="8" w:space="0"/>
              <w:bottom w:val="single" w:color="404040" w:sz="24" w:space="0"/>
              <w:right w:val="single" w:color="FEFEFE" w:sz="8" w:space="0"/>
            </w:tcBorders>
            <w:shd w:val="clear" w:color="auto" w:fill="FEFEFE"/>
            <w:noWrap/>
            <w:vAlign w:val="center"/>
          </w:tcPr>
          <w:p>
            <w:pPr>
              <w:spacing w:line="0" w:lineRule="atLeast"/>
              <w:ind w:right="-4" w:rightChars="-2"/>
              <w:jc w:val="both"/>
              <w:rPr>
                <w:rFonts w:ascii="仿宋" w:hAnsi="仿宋" w:eastAsia="仿宋" w:cs="仿宋"/>
                <w:color w:val="000000"/>
                <w:szCs w:val="21"/>
              </w:rPr>
            </w:pPr>
          </w:p>
        </w:tc>
        <w:tc>
          <w:tcPr>
            <w:tcW w:w="3306" w:type="pct"/>
            <w:tcBorders>
              <w:top w:val="single" w:color="FEFEFE" w:sz="8" w:space="0"/>
              <w:left w:val="single" w:color="FEFEFE" w:sz="8" w:space="0"/>
              <w:bottom w:val="single" w:color="404040" w:sz="24"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680" w:type="pct"/>
            <w:tcBorders>
              <w:top w:val="single" w:color="FEFEFE" w:sz="8" w:space="0"/>
              <w:left w:val="single" w:color="FEFEFE" w:sz="8" w:space="0"/>
              <w:bottom w:val="single" w:color="404040" w:sz="24"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p>
        </w:tc>
        <w:tc>
          <w:tcPr>
            <w:tcW w:w="379" w:type="pct"/>
            <w:tcBorders>
              <w:top w:val="single" w:color="FEFEFE" w:sz="8" w:space="0"/>
              <w:left w:val="single" w:color="FEFEFE" w:sz="8" w:space="0"/>
              <w:bottom w:val="single" w:color="404040" w:sz="24"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p>
        </w:tc>
        <w:tc>
          <w:tcPr>
            <w:tcW w:w="138" w:type="pct"/>
            <w:tcBorders>
              <w:top w:val="single" w:color="FEFEFE" w:sz="8" w:space="0"/>
              <w:left w:val="single" w:color="FEFEFE" w:sz="8" w:space="0"/>
              <w:bottom w:val="single" w:color="404040" w:sz="24"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94" w:type="pct"/>
            <w:tcBorders>
              <w:top w:val="single" w:color="FEFEFE" w:sz="8" w:space="0"/>
              <w:left w:val="single" w:color="FEFEFE" w:sz="8" w:space="0"/>
              <w:bottom w:val="single" w:color="404040" w:sz="24" w:space="0"/>
              <w:right w:val="single" w:color="FEFEFE" w:sz="8" w:space="0"/>
            </w:tcBorders>
            <w:shd w:val="clear" w:color="auto" w:fill="FEFEFE"/>
            <w:noWrap/>
            <w:vAlign w:val="center"/>
          </w:tcPr>
          <w:p>
            <w:pPr>
              <w:spacing w:line="0" w:lineRule="atLeast"/>
              <w:ind w:right="-4" w:rightChars="-2"/>
              <w:jc w:val="center"/>
              <w:rPr>
                <w:rFonts w:ascii="仿宋" w:hAnsi="仿宋" w:eastAsia="仿宋" w:cs="仿宋"/>
                <w:b/>
                <w:color w:val="000000"/>
                <w:szCs w:val="21"/>
              </w:rPr>
            </w:pPr>
            <w:r>
              <w:rPr>
                <w:rFonts w:hint="eastAsia" w:ascii="仿宋" w:hAnsi="仿宋" w:eastAsia="仿宋" w:cs="仿宋"/>
                <w:b/>
                <w:color w:val="000000"/>
                <w:szCs w:val="21"/>
              </w:rPr>
              <w:t>序号</w:t>
            </w:r>
          </w:p>
        </w:tc>
        <w:tc>
          <w:tcPr>
            <w:tcW w:w="3306" w:type="pct"/>
            <w:tcBorders>
              <w:top w:val="single" w:color="FEFEFE" w:sz="8" w:space="0"/>
              <w:left w:val="single" w:color="FEFEFE" w:sz="8" w:space="0"/>
              <w:bottom w:val="single" w:color="404040" w:sz="24" w:space="0"/>
              <w:right w:val="single" w:color="FEFEFE" w:sz="8" w:space="0"/>
            </w:tcBorders>
            <w:shd w:val="clear" w:color="auto" w:fill="FEFEFE"/>
            <w:noWrap/>
            <w:vAlign w:val="center"/>
          </w:tcPr>
          <w:p>
            <w:pPr>
              <w:spacing w:line="0" w:lineRule="atLeast"/>
              <w:ind w:firstLine="480"/>
              <w:jc w:val="center"/>
              <w:rPr>
                <w:rFonts w:ascii="仿宋" w:hAnsi="仿宋" w:eastAsia="仿宋" w:cs="仿宋"/>
                <w:b/>
                <w:color w:val="000000"/>
                <w:szCs w:val="21"/>
              </w:rPr>
            </w:pPr>
            <w:r>
              <w:rPr>
                <w:rFonts w:hint="eastAsia" w:ascii="仿宋" w:hAnsi="仿宋" w:eastAsia="仿宋" w:cs="仿宋"/>
                <w:b/>
                <w:color w:val="000000"/>
                <w:szCs w:val="21"/>
              </w:rPr>
              <w:t>调查项目</w:t>
            </w:r>
          </w:p>
        </w:tc>
        <w:tc>
          <w:tcPr>
            <w:tcW w:w="680" w:type="pct"/>
            <w:tcBorders>
              <w:top w:val="single" w:color="FEFEFE" w:sz="8" w:space="0"/>
              <w:left w:val="single" w:color="FEFEFE" w:sz="8" w:space="0"/>
              <w:bottom w:val="single" w:color="404040" w:sz="24" w:space="0"/>
              <w:right w:val="single" w:color="FEFEFE" w:sz="8" w:space="0"/>
            </w:tcBorders>
            <w:shd w:val="clear" w:color="auto" w:fill="FEFEFE"/>
            <w:noWrap/>
            <w:vAlign w:val="center"/>
          </w:tcPr>
          <w:p>
            <w:pPr>
              <w:spacing w:line="0" w:lineRule="atLeast"/>
              <w:jc w:val="center"/>
              <w:rPr>
                <w:rFonts w:ascii="仿宋" w:hAnsi="仿宋" w:eastAsia="仿宋" w:cs="仿宋"/>
                <w:b/>
                <w:color w:val="000000"/>
                <w:szCs w:val="21"/>
              </w:rPr>
            </w:pPr>
            <w:r>
              <w:rPr>
                <w:rFonts w:hint="eastAsia" w:ascii="仿宋" w:hAnsi="仿宋" w:eastAsia="仿宋" w:cs="仿宋"/>
                <w:b/>
                <w:color w:val="000000"/>
                <w:szCs w:val="21"/>
              </w:rPr>
              <w:t>标准分数</w:t>
            </w:r>
          </w:p>
        </w:tc>
        <w:tc>
          <w:tcPr>
            <w:tcW w:w="379" w:type="pct"/>
            <w:tcBorders>
              <w:top w:val="single" w:color="FEFEFE" w:sz="8" w:space="0"/>
              <w:left w:val="single" w:color="FEFEFE" w:sz="8" w:space="0"/>
              <w:bottom w:val="single" w:color="404040" w:sz="24" w:space="0"/>
              <w:right w:val="single" w:color="FEFEFE" w:sz="8" w:space="0"/>
            </w:tcBorders>
            <w:shd w:val="clear" w:color="auto" w:fill="FEFEFE"/>
            <w:noWrap/>
            <w:vAlign w:val="center"/>
          </w:tcPr>
          <w:p>
            <w:pPr>
              <w:spacing w:line="0" w:lineRule="atLeast"/>
              <w:jc w:val="center"/>
              <w:rPr>
                <w:rFonts w:ascii="仿宋" w:hAnsi="仿宋" w:eastAsia="仿宋" w:cs="仿宋"/>
                <w:b/>
                <w:color w:val="000000"/>
                <w:szCs w:val="21"/>
              </w:rPr>
            </w:pPr>
            <w:r>
              <w:rPr>
                <w:rFonts w:hint="eastAsia" w:ascii="仿宋" w:hAnsi="仿宋" w:eastAsia="仿宋" w:cs="仿宋"/>
                <w:b/>
                <w:color w:val="000000"/>
                <w:szCs w:val="21"/>
              </w:rPr>
              <w:t>得分</w:t>
            </w:r>
          </w:p>
        </w:tc>
        <w:tc>
          <w:tcPr>
            <w:tcW w:w="138" w:type="pct"/>
            <w:tcBorders>
              <w:top w:val="single" w:color="FEFEFE" w:sz="8" w:space="0"/>
              <w:left w:val="single" w:color="FEFEFE" w:sz="8" w:space="0"/>
              <w:bottom w:val="single" w:color="404040" w:sz="24" w:space="0"/>
              <w:right w:val="single" w:color="FEFEFE" w:sz="8" w:space="0"/>
            </w:tcBorders>
            <w:shd w:val="clear" w:color="auto" w:fill="FEFEFE"/>
            <w:noWrap/>
            <w:vAlign w:val="center"/>
          </w:tcPr>
          <w:p>
            <w:pPr>
              <w:spacing w:line="0" w:lineRule="atLeast"/>
              <w:jc w:val="center"/>
              <w:rPr>
                <w:rFonts w:ascii="仿宋" w:hAnsi="仿宋" w:eastAsia="仿宋" w:cs="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pct"/>
            <w:tcBorders>
              <w:top w:val="single" w:color="404040" w:sz="24"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3306" w:type="pct"/>
            <w:tcBorders>
              <w:top w:val="single" w:color="404040" w:sz="24"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您是否知道德化县城乡居民基本养老保险？</w:t>
            </w:r>
          </w:p>
          <w:p>
            <w:pPr>
              <w:spacing w:line="0" w:lineRule="atLeast"/>
              <w:rPr>
                <w:rFonts w:ascii="仿宋" w:hAnsi="仿宋" w:eastAsia="仿宋" w:cs="仿宋"/>
                <w:color w:val="000000"/>
                <w:szCs w:val="21"/>
              </w:rPr>
            </w:pPr>
            <w:r>
              <w:rPr>
                <w:rFonts w:hint="eastAsia" w:ascii="仿宋" w:hAnsi="仿宋" w:eastAsia="仿宋" w:cs="仿宋"/>
                <w:color w:val="000000"/>
                <w:szCs w:val="21"/>
              </w:rPr>
              <w:t>（知道10分；不太清楚6</w:t>
            </w:r>
            <w:r>
              <w:rPr>
                <w:rFonts w:hint="eastAsia" w:ascii="仿宋" w:hAnsi="仿宋" w:eastAsia="仿宋" w:cs="仿宋"/>
                <w:color w:val="000000"/>
                <w:szCs w:val="21"/>
                <w:lang w:eastAsia="zh-CN"/>
              </w:rPr>
              <w:t>—</w:t>
            </w:r>
            <w:r>
              <w:rPr>
                <w:rFonts w:hint="eastAsia" w:ascii="仿宋" w:hAnsi="仿宋" w:eastAsia="仿宋" w:cs="仿宋"/>
                <w:color w:val="000000"/>
                <w:szCs w:val="21"/>
              </w:rPr>
              <w:t>9分；知道一点点1</w:t>
            </w:r>
            <w:r>
              <w:rPr>
                <w:rFonts w:hint="eastAsia" w:ascii="仿宋" w:hAnsi="仿宋" w:eastAsia="仿宋" w:cs="仿宋"/>
                <w:color w:val="000000"/>
                <w:szCs w:val="21"/>
                <w:lang w:eastAsia="zh-CN"/>
              </w:rPr>
              <w:t>—</w:t>
            </w:r>
            <w:r>
              <w:rPr>
                <w:rFonts w:hint="eastAsia" w:ascii="仿宋" w:hAnsi="仿宋" w:eastAsia="仿宋" w:cs="仿宋"/>
                <w:color w:val="000000"/>
                <w:szCs w:val="21"/>
              </w:rPr>
              <w:t>5分，</w:t>
            </w:r>
          </w:p>
          <w:p>
            <w:pPr>
              <w:spacing w:line="0" w:lineRule="atLeast"/>
              <w:rPr>
                <w:rFonts w:ascii="仿宋" w:hAnsi="仿宋" w:eastAsia="仿宋" w:cs="仿宋"/>
                <w:color w:val="000000"/>
                <w:szCs w:val="21"/>
              </w:rPr>
            </w:pPr>
            <w:r>
              <w:rPr>
                <w:rFonts w:hint="eastAsia" w:ascii="仿宋" w:hAnsi="仿宋" w:eastAsia="仿宋" w:cs="仿宋"/>
                <w:color w:val="000000"/>
                <w:szCs w:val="21"/>
              </w:rPr>
              <w:t>不知道0分）</w:t>
            </w:r>
          </w:p>
        </w:tc>
        <w:tc>
          <w:tcPr>
            <w:tcW w:w="680" w:type="pct"/>
            <w:tcBorders>
              <w:top w:val="single" w:color="404040" w:sz="24"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379" w:type="pct"/>
            <w:tcBorders>
              <w:top w:val="single" w:color="404040" w:sz="24"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138" w:type="pct"/>
            <w:tcBorders>
              <w:top w:val="single" w:color="404040" w:sz="24"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3306"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您认为德化县城乡居民基本养老保险补助资金</w:t>
            </w:r>
            <w:r>
              <w:rPr>
                <w:rFonts w:hint="eastAsia" w:ascii="仿宋" w:hAnsi="仿宋" w:eastAsia="仿宋" w:cs="仿宋"/>
                <w:color w:val="000000"/>
                <w:szCs w:val="21"/>
                <w:lang w:eastAsia="zh-CN"/>
              </w:rPr>
              <w:t>得</w:t>
            </w:r>
            <w:r>
              <w:rPr>
                <w:rFonts w:hint="eastAsia" w:ascii="仿宋" w:hAnsi="仿宋" w:eastAsia="仿宋" w:cs="仿宋"/>
                <w:color w:val="000000"/>
                <w:szCs w:val="21"/>
              </w:rPr>
              <w:t>产生的经济效益如何？</w:t>
            </w:r>
          </w:p>
          <w:p>
            <w:pPr>
              <w:spacing w:line="0" w:lineRule="atLeast"/>
              <w:rPr>
                <w:rFonts w:ascii="仿宋" w:hAnsi="仿宋" w:eastAsia="仿宋" w:cs="仿宋"/>
                <w:color w:val="000000"/>
                <w:szCs w:val="21"/>
              </w:rPr>
            </w:pPr>
            <w:r>
              <w:rPr>
                <w:rFonts w:hint="eastAsia" w:ascii="仿宋" w:hAnsi="仿宋" w:eastAsia="仿宋" w:cs="仿宋"/>
                <w:color w:val="000000"/>
                <w:szCs w:val="21"/>
              </w:rPr>
              <w:t>（效益明显10分；较明显6</w:t>
            </w:r>
            <w:r>
              <w:rPr>
                <w:rFonts w:hint="eastAsia" w:ascii="仿宋" w:hAnsi="仿宋" w:eastAsia="仿宋" w:cs="仿宋"/>
                <w:color w:val="000000"/>
                <w:szCs w:val="21"/>
                <w:lang w:eastAsia="zh-CN"/>
              </w:rPr>
              <w:t>—</w:t>
            </w:r>
            <w:r>
              <w:rPr>
                <w:rFonts w:hint="eastAsia" w:ascii="仿宋" w:hAnsi="仿宋" w:eastAsia="仿宋" w:cs="仿宋"/>
                <w:color w:val="000000"/>
                <w:szCs w:val="21"/>
              </w:rPr>
              <w:t>9分；一般1</w:t>
            </w:r>
            <w:r>
              <w:rPr>
                <w:rFonts w:hint="eastAsia" w:ascii="仿宋" w:hAnsi="仿宋" w:eastAsia="仿宋" w:cs="仿宋"/>
                <w:color w:val="000000"/>
                <w:szCs w:val="21"/>
                <w:lang w:eastAsia="zh-CN"/>
              </w:rPr>
              <w:t>—</w:t>
            </w:r>
            <w:r>
              <w:rPr>
                <w:rFonts w:hint="eastAsia" w:ascii="仿宋" w:hAnsi="仿宋" w:eastAsia="仿宋" w:cs="仿宋"/>
                <w:color w:val="000000"/>
                <w:szCs w:val="21"/>
              </w:rPr>
              <w:t>5分；无0分）</w:t>
            </w:r>
          </w:p>
        </w:tc>
        <w:tc>
          <w:tcPr>
            <w:tcW w:w="680"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37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rPr>
                <w:rFonts w:ascii="仿宋" w:hAnsi="仿宋" w:eastAsia="仿宋" w:cs="仿宋"/>
                <w:color w:val="000000"/>
                <w:szCs w:val="21"/>
              </w:rPr>
            </w:pPr>
          </w:p>
        </w:tc>
        <w:tc>
          <w:tcPr>
            <w:tcW w:w="138"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3</w:t>
            </w:r>
          </w:p>
        </w:tc>
        <w:tc>
          <w:tcPr>
            <w:tcW w:w="3306"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您认为德化县城乡居民基本养老保险补助资金实施的可持续性效率如何</w:t>
            </w:r>
            <w:r>
              <w:rPr>
                <w:rFonts w:hint="eastAsia" w:ascii="仿宋" w:hAnsi="仿宋" w:eastAsia="仿宋" w:cs="仿宋"/>
                <w:color w:val="000000"/>
                <w:szCs w:val="21"/>
                <w:lang w:eastAsia="zh-CN"/>
              </w:rPr>
              <w:t>？</w:t>
            </w:r>
          </w:p>
          <w:p>
            <w:pPr>
              <w:spacing w:line="0" w:lineRule="atLeast"/>
              <w:rPr>
                <w:rFonts w:ascii="仿宋" w:hAnsi="仿宋" w:eastAsia="仿宋" w:cs="仿宋"/>
                <w:color w:val="000000"/>
                <w:szCs w:val="21"/>
              </w:rPr>
            </w:pPr>
            <w:r>
              <w:rPr>
                <w:rFonts w:hint="eastAsia" w:ascii="仿宋" w:hAnsi="仿宋" w:eastAsia="仿宋" w:cs="仿宋"/>
                <w:color w:val="000000"/>
                <w:szCs w:val="21"/>
              </w:rPr>
              <w:t>（持续发展效果明显10分；较明显6</w:t>
            </w:r>
            <w:r>
              <w:rPr>
                <w:rFonts w:hint="eastAsia" w:ascii="仿宋" w:hAnsi="仿宋" w:eastAsia="仿宋" w:cs="仿宋"/>
                <w:color w:val="000000"/>
                <w:szCs w:val="21"/>
                <w:lang w:eastAsia="zh-CN"/>
              </w:rPr>
              <w:t>—</w:t>
            </w:r>
            <w:r>
              <w:rPr>
                <w:rFonts w:hint="eastAsia" w:ascii="仿宋" w:hAnsi="仿宋" w:eastAsia="仿宋" w:cs="仿宋"/>
                <w:color w:val="000000"/>
                <w:szCs w:val="21"/>
              </w:rPr>
              <w:t>9分；一般1</w:t>
            </w:r>
            <w:r>
              <w:rPr>
                <w:rFonts w:hint="eastAsia" w:ascii="仿宋" w:hAnsi="仿宋" w:eastAsia="仿宋" w:cs="仿宋"/>
                <w:color w:val="000000"/>
                <w:szCs w:val="21"/>
                <w:lang w:eastAsia="zh-CN"/>
              </w:rPr>
              <w:t>—</w:t>
            </w:r>
            <w:r>
              <w:rPr>
                <w:rFonts w:hint="eastAsia" w:ascii="仿宋" w:hAnsi="仿宋" w:eastAsia="仿宋" w:cs="仿宋"/>
                <w:color w:val="000000"/>
                <w:szCs w:val="21"/>
              </w:rPr>
              <w:t>5分；无0分）</w:t>
            </w:r>
          </w:p>
        </w:tc>
        <w:tc>
          <w:tcPr>
            <w:tcW w:w="680"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37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138"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4</w:t>
            </w:r>
          </w:p>
        </w:tc>
        <w:tc>
          <w:tcPr>
            <w:tcW w:w="3306"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您认为德化县城乡居民基本养老保险补助资金项目产生的社会效益如何？</w:t>
            </w:r>
          </w:p>
          <w:p>
            <w:pPr>
              <w:spacing w:line="0" w:lineRule="atLeast"/>
              <w:rPr>
                <w:rFonts w:ascii="仿宋" w:hAnsi="仿宋" w:eastAsia="仿宋" w:cs="仿宋"/>
                <w:color w:val="000000"/>
                <w:szCs w:val="21"/>
              </w:rPr>
            </w:pPr>
            <w:r>
              <w:rPr>
                <w:rFonts w:hint="eastAsia" w:ascii="仿宋" w:hAnsi="仿宋" w:eastAsia="仿宋" w:cs="仿宋"/>
                <w:color w:val="000000"/>
                <w:szCs w:val="21"/>
              </w:rPr>
              <w:t>（好10分；较好6</w:t>
            </w:r>
            <w:r>
              <w:rPr>
                <w:rFonts w:hint="eastAsia" w:ascii="仿宋" w:hAnsi="仿宋" w:eastAsia="仿宋" w:cs="仿宋"/>
                <w:color w:val="000000"/>
                <w:szCs w:val="21"/>
                <w:lang w:eastAsia="zh-CN"/>
              </w:rPr>
              <w:t>—</w:t>
            </w:r>
            <w:r>
              <w:rPr>
                <w:rFonts w:hint="eastAsia" w:ascii="仿宋" w:hAnsi="仿宋" w:eastAsia="仿宋" w:cs="仿宋"/>
                <w:color w:val="000000"/>
                <w:szCs w:val="21"/>
              </w:rPr>
              <w:t>9分；一般1</w:t>
            </w:r>
            <w:r>
              <w:rPr>
                <w:rFonts w:hint="eastAsia" w:ascii="仿宋" w:hAnsi="仿宋" w:eastAsia="仿宋" w:cs="仿宋"/>
                <w:color w:val="000000"/>
                <w:szCs w:val="21"/>
                <w:lang w:eastAsia="zh-CN"/>
              </w:rPr>
              <w:t>—</w:t>
            </w:r>
            <w:r>
              <w:rPr>
                <w:rFonts w:hint="eastAsia" w:ascii="仿宋" w:hAnsi="仿宋" w:eastAsia="仿宋" w:cs="仿宋"/>
                <w:color w:val="000000"/>
                <w:szCs w:val="21"/>
              </w:rPr>
              <w:t>5分；不好0分）</w:t>
            </w:r>
          </w:p>
        </w:tc>
        <w:tc>
          <w:tcPr>
            <w:tcW w:w="680"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37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138"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5</w:t>
            </w:r>
          </w:p>
        </w:tc>
        <w:tc>
          <w:tcPr>
            <w:tcW w:w="3306"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您认为如何？</w:t>
            </w:r>
          </w:p>
          <w:p>
            <w:pPr>
              <w:spacing w:line="0" w:lineRule="atLeast"/>
              <w:rPr>
                <w:rFonts w:ascii="仿宋" w:hAnsi="仿宋" w:eastAsia="仿宋" w:cs="仿宋"/>
                <w:color w:val="000000"/>
                <w:szCs w:val="21"/>
              </w:rPr>
            </w:pPr>
            <w:r>
              <w:rPr>
                <w:rFonts w:hint="eastAsia" w:ascii="仿宋" w:hAnsi="仿宋" w:eastAsia="仿宋" w:cs="仿宋"/>
                <w:color w:val="000000"/>
                <w:szCs w:val="21"/>
              </w:rPr>
              <w:t>（好10分；较好6</w:t>
            </w:r>
            <w:r>
              <w:rPr>
                <w:rFonts w:hint="eastAsia" w:ascii="仿宋" w:hAnsi="仿宋" w:eastAsia="仿宋" w:cs="仿宋"/>
                <w:color w:val="000000"/>
                <w:szCs w:val="21"/>
                <w:lang w:eastAsia="zh-CN"/>
              </w:rPr>
              <w:t>—</w:t>
            </w:r>
            <w:r>
              <w:rPr>
                <w:rFonts w:hint="eastAsia" w:ascii="仿宋" w:hAnsi="仿宋" w:eastAsia="仿宋" w:cs="仿宋"/>
                <w:color w:val="000000"/>
                <w:szCs w:val="21"/>
              </w:rPr>
              <w:t>9分；一般1</w:t>
            </w:r>
            <w:r>
              <w:rPr>
                <w:rFonts w:hint="eastAsia" w:ascii="仿宋" w:hAnsi="仿宋" w:eastAsia="仿宋" w:cs="仿宋"/>
                <w:color w:val="000000"/>
                <w:szCs w:val="21"/>
                <w:lang w:eastAsia="zh-CN"/>
              </w:rPr>
              <w:t>—</w:t>
            </w:r>
            <w:r>
              <w:rPr>
                <w:rFonts w:hint="eastAsia" w:ascii="仿宋" w:hAnsi="仿宋" w:eastAsia="仿宋" w:cs="仿宋"/>
                <w:color w:val="000000"/>
                <w:szCs w:val="21"/>
              </w:rPr>
              <w:t>5分；不好0分）</w:t>
            </w:r>
          </w:p>
        </w:tc>
        <w:tc>
          <w:tcPr>
            <w:tcW w:w="680"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37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138"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9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6</w:t>
            </w:r>
          </w:p>
        </w:tc>
        <w:tc>
          <w:tcPr>
            <w:tcW w:w="3306"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您认为德化县60周岁以下人员是否全部参与城乡居民基本养老保险？</w:t>
            </w:r>
          </w:p>
          <w:p>
            <w:pPr>
              <w:spacing w:line="0" w:lineRule="atLeast"/>
              <w:rPr>
                <w:rFonts w:ascii="仿宋" w:hAnsi="仿宋" w:eastAsia="仿宋" w:cs="仿宋"/>
                <w:color w:val="000000"/>
                <w:szCs w:val="21"/>
              </w:rPr>
            </w:pPr>
            <w:r>
              <w:rPr>
                <w:rFonts w:hint="eastAsia" w:ascii="仿宋" w:hAnsi="仿宋" w:eastAsia="仿宋" w:cs="仿宋"/>
                <w:color w:val="000000"/>
                <w:szCs w:val="21"/>
              </w:rPr>
              <w:t>（全部参保10分，参保50%以上8</w:t>
            </w:r>
            <w:r>
              <w:rPr>
                <w:rFonts w:hint="eastAsia" w:ascii="仿宋" w:hAnsi="仿宋" w:eastAsia="仿宋" w:cs="仿宋"/>
                <w:color w:val="000000"/>
                <w:szCs w:val="21"/>
                <w:lang w:eastAsia="zh-CN"/>
              </w:rPr>
              <w:t>—</w:t>
            </w:r>
            <w:r>
              <w:rPr>
                <w:rFonts w:hint="eastAsia" w:ascii="仿宋" w:hAnsi="仿宋" w:eastAsia="仿宋" w:cs="仿宋"/>
                <w:color w:val="000000"/>
                <w:szCs w:val="21"/>
              </w:rPr>
              <w:t>9分，参保50%以下1</w:t>
            </w:r>
            <w:r>
              <w:rPr>
                <w:rFonts w:hint="eastAsia" w:ascii="仿宋" w:hAnsi="仿宋" w:eastAsia="仿宋" w:cs="仿宋"/>
                <w:color w:val="000000"/>
                <w:szCs w:val="21"/>
                <w:lang w:eastAsia="zh-CN"/>
              </w:rPr>
              <w:t>—</w:t>
            </w:r>
            <w:r>
              <w:rPr>
                <w:rFonts w:hint="eastAsia" w:ascii="仿宋" w:hAnsi="仿宋" w:eastAsia="仿宋" w:cs="仿宋"/>
                <w:color w:val="000000"/>
                <w:szCs w:val="21"/>
              </w:rPr>
              <w:t>7分，没有消除0分）</w:t>
            </w:r>
          </w:p>
        </w:tc>
        <w:tc>
          <w:tcPr>
            <w:tcW w:w="680"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37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138"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7</w:t>
            </w:r>
          </w:p>
        </w:tc>
        <w:tc>
          <w:tcPr>
            <w:tcW w:w="3306"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r>
              <w:rPr>
                <w:rFonts w:ascii="仿宋" w:hAnsi="仿宋" w:eastAsia="仿宋" w:cs="仿宋"/>
                <w:color w:val="000000"/>
                <w:szCs w:val="21"/>
              </w:rPr>
              <w:t>您认为</w:t>
            </w:r>
            <w:r>
              <w:rPr>
                <w:rFonts w:hint="eastAsia" w:ascii="仿宋" w:hAnsi="仿宋" w:eastAsia="仿宋" w:cs="仿宋"/>
                <w:color w:val="000000"/>
                <w:szCs w:val="21"/>
              </w:rPr>
              <w:t>德化县城乡居民基本养老保险补助资金</w:t>
            </w:r>
            <w:r>
              <w:rPr>
                <w:rFonts w:ascii="仿宋" w:hAnsi="仿宋" w:eastAsia="仿宋" w:cs="仿宋"/>
                <w:color w:val="000000"/>
                <w:szCs w:val="21"/>
              </w:rPr>
              <w:t>在当地是否得到有效的落实？</w:t>
            </w:r>
          </w:p>
          <w:p>
            <w:pPr>
              <w:spacing w:line="0" w:lineRule="atLeas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完全落实10分 B.基本落实8分C.落实较少5分</w:t>
            </w:r>
            <w:r>
              <w:rPr>
                <w:rFonts w:hint="eastAsia" w:ascii="仿宋" w:hAnsi="仿宋" w:eastAsia="仿宋" w:cs="仿宋"/>
                <w:color w:val="000000"/>
                <w:szCs w:val="21"/>
                <w:lang w:eastAsia="zh-CN"/>
              </w:rPr>
              <w:t>；</w:t>
            </w:r>
            <w:r>
              <w:rPr>
                <w:rFonts w:ascii="仿宋" w:hAnsi="仿宋" w:eastAsia="仿宋" w:cs="仿宋"/>
                <w:color w:val="000000"/>
                <w:szCs w:val="21"/>
              </w:rPr>
              <w:t>D.没落实 0分</w:t>
            </w:r>
            <w:r>
              <w:rPr>
                <w:rFonts w:hint="eastAsia" w:ascii="仿宋" w:hAnsi="仿宋" w:eastAsia="仿宋" w:cs="仿宋"/>
                <w:color w:val="000000"/>
                <w:szCs w:val="21"/>
              </w:rPr>
              <w:t>）</w:t>
            </w:r>
          </w:p>
        </w:tc>
        <w:tc>
          <w:tcPr>
            <w:tcW w:w="680"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37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138"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8</w:t>
            </w:r>
          </w:p>
        </w:tc>
        <w:tc>
          <w:tcPr>
            <w:tcW w:w="3306"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您认为德化县城乡居民基本养老保险补助资金是否存在不足之处？</w:t>
            </w:r>
          </w:p>
          <w:p>
            <w:pPr>
              <w:spacing w:line="0" w:lineRule="atLeast"/>
              <w:rPr>
                <w:rFonts w:ascii="仿宋" w:hAnsi="仿宋" w:eastAsia="仿宋" w:cs="仿宋"/>
                <w:color w:val="000000"/>
                <w:szCs w:val="21"/>
              </w:rPr>
            </w:pPr>
            <w:r>
              <w:rPr>
                <w:rFonts w:hint="eastAsia" w:ascii="仿宋" w:hAnsi="仿宋" w:eastAsia="仿宋" w:cs="仿宋"/>
                <w:color w:val="000000"/>
                <w:szCs w:val="21"/>
              </w:rPr>
              <w:t>存在3项及以上（0分），存在1-2项（1</w:t>
            </w:r>
            <w:r>
              <w:rPr>
                <w:rFonts w:hint="eastAsia" w:ascii="仿宋" w:hAnsi="仿宋" w:eastAsia="仿宋" w:cs="仿宋"/>
                <w:color w:val="000000"/>
                <w:szCs w:val="21"/>
                <w:lang w:eastAsia="zh-CN"/>
              </w:rPr>
              <w:t>—</w:t>
            </w:r>
            <w:r>
              <w:rPr>
                <w:rFonts w:hint="eastAsia" w:ascii="仿宋" w:hAnsi="仿宋" w:eastAsia="仿宋" w:cs="仿宋"/>
                <w:color w:val="000000"/>
                <w:szCs w:val="21"/>
              </w:rPr>
              <w:t>9分），不存在（10分）</w:t>
            </w:r>
          </w:p>
        </w:tc>
        <w:tc>
          <w:tcPr>
            <w:tcW w:w="680"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37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138"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9</w:t>
            </w:r>
          </w:p>
        </w:tc>
        <w:tc>
          <w:tcPr>
            <w:tcW w:w="3306"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r>
              <w:rPr>
                <w:rFonts w:ascii="仿宋" w:hAnsi="仿宋" w:eastAsia="仿宋" w:cs="仿宋"/>
                <w:color w:val="000000"/>
                <w:szCs w:val="21"/>
              </w:rPr>
              <w:t>您希望今后继续加大</w:t>
            </w:r>
            <w:r>
              <w:rPr>
                <w:rFonts w:hint="eastAsia" w:ascii="仿宋" w:hAnsi="仿宋" w:eastAsia="仿宋" w:cs="仿宋"/>
                <w:color w:val="000000"/>
                <w:szCs w:val="21"/>
              </w:rPr>
              <w:t>德化县城乡居民基本养老保险补助专项资金</w:t>
            </w:r>
            <w:r>
              <w:rPr>
                <w:rFonts w:ascii="仿宋" w:hAnsi="仿宋" w:eastAsia="仿宋" w:cs="仿宋"/>
                <w:color w:val="000000"/>
                <w:szCs w:val="21"/>
              </w:rPr>
              <w:t>项目吗？</w:t>
            </w:r>
          </w:p>
          <w:p>
            <w:pPr>
              <w:spacing w:line="0" w:lineRule="atLeast"/>
              <w:rPr>
                <w:rFonts w:ascii="仿宋" w:hAnsi="仿宋" w:eastAsia="仿宋" w:cs="仿宋"/>
                <w:color w:val="000000"/>
                <w:szCs w:val="21"/>
              </w:rPr>
            </w:pPr>
            <w:r>
              <w:rPr>
                <w:rFonts w:ascii="仿宋" w:hAnsi="仿宋" w:eastAsia="仿宋" w:cs="仿宋"/>
                <w:color w:val="000000"/>
                <w:szCs w:val="21"/>
              </w:rPr>
              <w:t xml:space="preserve">A.是10分 </w:t>
            </w:r>
            <w:r>
              <w:rPr>
                <w:rFonts w:hint="eastAsia" w:ascii="仿宋" w:hAnsi="仿宋" w:eastAsia="仿宋" w:cs="仿宋"/>
                <w:color w:val="000000"/>
                <w:szCs w:val="21"/>
              </w:rPr>
              <w:t xml:space="preserve"> </w:t>
            </w:r>
            <w:r>
              <w:rPr>
                <w:rFonts w:ascii="仿宋" w:hAnsi="仿宋" w:eastAsia="仿宋" w:cs="仿宋"/>
                <w:color w:val="000000"/>
                <w:szCs w:val="21"/>
              </w:rPr>
              <w:t>B 否 0分</w:t>
            </w:r>
          </w:p>
        </w:tc>
        <w:tc>
          <w:tcPr>
            <w:tcW w:w="680"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37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138"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3306"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rPr>
                <w:rFonts w:ascii="仿宋" w:hAnsi="仿宋" w:eastAsia="仿宋" w:cs="仿宋"/>
                <w:color w:val="000000"/>
                <w:szCs w:val="21"/>
              </w:rPr>
            </w:pPr>
            <w:r>
              <w:rPr>
                <w:rFonts w:hint="eastAsia" w:ascii="仿宋" w:hAnsi="仿宋" w:eastAsia="仿宋" w:cs="仿宋"/>
                <w:color w:val="000000"/>
                <w:szCs w:val="21"/>
              </w:rPr>
              <w:t>您是从什么渠道了解德化县城乡居民基本养老保险补助专项资金项目？</w:t>
            </w:r>
          </w:p>
          <w:p>
            <w:pPr>
              <w:spacing w:line="0" w:lineRule="atLeast"/>
              <w:rPr>
                <w:color w:val="000000"/>
              </w:rPr>
            </w:pPr>
            <w:r>
              <w:rPr>
                <w:rFonts w:ascii="仿宋" w:hAnsi="仿宋" w:eastAsia="仿宋" w:cs="仿宋"/>
                <w:color w:val="000000"/>
                <w:szCs w:val="21"/>
              </w:rPr>
              <w:t>A.政府宣传  B.公司宣传  C.电视、报刊、广播等媒体  D.网络  E.其他 （每项2分</w:t>
            </w:r>
            <w:r>
              <w:rPr>
                <w:rFonts w:hint="eastAsia" w:ascii="仿宋" w:hAnsi="仿宋" w:eastAsia="仿宋" w:cs="仿宋"/>
                <w:color w:val="000000"/>
                <w:szCs w:val="21"/>
                <w:lang w:eastAsia="zh-CN"/>
              </w:rPr>
              <w:t>）</w:t>
            </w:r>
          </w:p>
        </w:tc>
        <w:tc>
          <w:tcPr>
            <w:tcW w:w="680"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37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138"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4"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3306"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r>
              <w:rPr>
                <w:rFonts w:hint="eastAsia" w:ascii="仿宋" w:hAnsi="仿宋" w:eastAsia="仿宋" w:cs="仿宋"/>
                <w:color w:val="000000"/>
                <w:szCs w:val="21"/>
              </w:rPr>
              <w:t>合计</w:t>
            </w:r>
          </w:p>
        </w:tc>
        <w:tc>
          <w:tcPr>
            <w:tcW w:w="680"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jc w:val="center"/>
              <w:rPr>
                <w:rFonts w:ascii="仿宋" w:hAnsi="仿宋" w:eastAsia="仿宋" w:cs="仿宋"/>
                <w:color w:val="000000"/>
                <w:szCs w:val="21"/>
              </w:rPr>
            </w:pPr>
            <w:r>
              <w:rPr>
                <w:rFonts w:hint="eastAsia" w:ascii="仿宋" w:hAnsi="仿宋" w:eastAsia="仿宋" w:cs="仿宋"/>
                <w:color w:val="000000"/>
                <w:szCs w:val="21"/>
              </w:rPr>
              <w:t>100</w:t>
            </w:r>
          </w:p>
        </w:tc>
        <w:tc>
          <w:tcPr>
            <w:tcW w:w="379"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c>
          <w:tcPr>
            <w:tcW w:w="138" w:type="pct"/>
            <w:tcBorders>
              <w:top w:val="single" w:color="404040" w:sz="8" w:space="0"/>
              <w:left w:val="single" w:color="FEFEFE" w:sz="8" w:space="0"/>
              <w:bottom w:val="single" w:color="404040" w:sz="8" w:space="0"/>
              <w:right w:val="single" w:color="FEFEFE" w:sz="8" w:space="0"/>
            </w:tcBorders>
            <w:shd w:val="clear" w:color="auto" w:fill="FEFEFE"/>
            <w:noWrap/>
            <w:vAlign w:val="center"/>
          </w:tcPr>
          <w:p>
            <w:pPr>
              <w:spacing w:line="0" w:lineRule="atLeast"/>
              <w:ind w:firstLine="480"/>
              <w:jc w:val="center"/>
              <w:rPr>
                <w:rFonts w:ascii="仿宋" w:hAnsi="仿宋" w:eastAsia="仿宋" w:cs="仿宋"/>
                <w:color w:val="000000"/>
                <w:szCs w:val="21"/>
              </w:rPr>
            </w:pPr>
          </w:p>
        </w:tc>
      </w:tr>
    </w:tbl>
    <w:p>
      <w:pPr>
        <w:pStyle w:val="19"/>
        <w:spacing w:after="0" w:line="360" w:lineRule="auto"/>
        <w:ind w:left="0" w:leftChars="0" w:firstLine="0" w:firstLineChars="0"/>
        <w:jc w:val="left"/>
        <w:outlineLvl w:val="0"/>
        <w:rPr>
          <w:rFonts w:hint="eastAsia" w:hAnsi="仿宋" w:cs="仿宋"/>
          <w:kern w:val="0"/>
          <w:sz w:val="28"/>
          <w:szCs w:val="32"/>
        </w:rPr>
      </w:pPr>
      <w:bookmarkStart w:id="189" w:name="_Toc13265"/>
    </w:p>
    <w:p>
      <w:pPr>
        <w:pStyle w:val="19"/>
        <w:spacing w:after="0" w:line="360" w:lineRule="auto"/>
        <w:ind w:left="0" w:leftChars="0" w:firstLine="0" w:firstLineChars="0"/>
        <w:jc w:val="left"/>
        <w:outlineLvl w:val="0"/>
        <w:rPr>
          <w:rFonts w:hint="eastAsia" w:hAnsi="仿宋" w:cs="仿宋"/>
          <w:b w:val="0"/>
          <w:bCs w:val="0"/>
          <w:kern w:val="0"/>
          <w:sz w:val="28"/>
          <w:szCs w:val="32"/>
        </w:rPr>
      </w:pPr>
    </w:p>
    <w:p>
      <w:pPr>
        <w:pStyle w:val="19"/>
        <w:spacing w:after="0" w:line="360" w:lineRule="auto"/>
        <w:ind w:left="0" w:leftChars="0" w:firstLine="0" w:firstLineChars="0"/>
        <w:jc w:val="left"/>
        <w:outlineLvl w:val="0"/>
        <w:rPr>
          <w:rFonts w:hint="eastAsia" w:hAnsi="仿宋" w:cs="仿宋"/>
          <w:b w:val="0"/>
          <w:bCs w:val="0"/>
          <w:kern w:val="0"/>
          <w:sz w:val="28"/>
          <w:szCs w:val="32"/>
        </w:rPr>
      </w:pPr>
    </w:p>
    <w:p>
      <w:pPr>
        <w:pStyle w:val="19"/>
        <w:spacing w:after="0" w:line="360" w:lineRule="auto"/>
        <w:ind w:left="0" w:leftChars="0" w:firstLine="0" w:firstLineChars="0"/>
        <w:jc w:val="left"/>
        <w:outlineLvl w:val="0"/>
        <w:rPr>
          <w:rFonts w:hAnsi="仿宋" w:cs="仿宋"/>
          <w:b w:val="0"/>
          <w:bCs w:val="0"/>
          <w:kern w:val="0"/>
          <w:sz w:val="28"/>
          <w:szCs w:val="28"/>
        </w:rPr>
      </w:pPr>
      <w:r>
        <w:rPr>
          <w:rFonts w:hint="eastAsia" w:ascii="Times New Roman" w:hAnsi="仿宋" w:eastAsia="宋体" w:cs="仿宋"/>
          <w:b/>
          <w:bCs/>
          <w:kern w:val="0"/>
          <w:sz w:val="28"/>
          <w:szCs w:val="28"/>
        </w:rPr>
        <w:drawing>
          <wp:anchor distT="0" distB="0" distL="114300" distR="114300" simplePos="0" relativeHeight="251662336" behindDoc="0" locked="0" layoutInCell="1" allowOverlap="1">
            <wp:simplePos x="0" y="0"/>
            <wp:positionH relativeFrom="column">
              <wp:posOffset>2527935</wp:posOffset>
            </wp:positionH>
            <wp:positionV relativeFrom="paragraph">
              <wp:posOffset>374650</wp:posOffset>
            </wp:positionV>
            <wp:extent cx="2826385" cy="2520315"/>
            <wp:effectExtent l="0" t="0" r="12065" b="13335"/>
            <wp:wrapNone/>
            <wp:docPr id="11" name="图片 11" descr="微信图片_20231208085750"/>
            <wp:cNvGraphicFramePr/>
            <a:graphic xmlns:a="http://schemas.openxmlformats.org/drawingml/2006/main">
              <a:graphicData uri="http://schemas.openxmlformats.org/drawingml/2006/picture">
                <pic:pic xmlns:pic="http://schemas.openxmlformats.org/drawingml/2006/picture">
                  <pic:nvPicPr>
                    <pic:cNvPr id="11" name="图片 11" descr="微信图片_20231208085750"/>
                    <pic:cNvPicPr/>
                  </pic:nvPicPr>
                  <pic:blipFill>
                    <a:blip r:embed="rId8"/>
                    <a:stretch>
                      <a:fillRect/>
                    </a:stretch>
                  </pic:blipFill>
                  <pic:spPr>
                    <a:xfrm>
                      <a:off x="0" y="0"/>
                      <a:ext cx="2826385" cy="2520315"/>
                    </a:xfrm>
                    <a:prstGeom prst="rect">
                      <a:avLst/>
                    </a:prstGeom>
                  </pic:spPr>
                </pic:pic>
              </a:graphicData>
            </a:graphic>
          </wp:anchor>
        </w:drawing>
      </w:r>
      <w:r>
        <w:rPr>
          <w:rFonts w:hint="eastAsia" w:hAnsi="仿宋" w:cs="仿宋"/>
          <w:b w:val="0"/>
          <w:bCs w:val="0"/>
          <w:kern w:val="0"/>
          <w:sz w:val="28"/>
          <w:szCs w:val="32"/>
        </w:rPr>
        <w:t>附件2：</w:t>
      </w:r>
      <w:bookmarkStart w:id="190" w:name="_Toc20397"/>
      <w:bookmarkStart w:id="191" w:name="_Toc17548"/>
      <w:bookmarkStart w:id="192" w:name="_Toc20903"/>
      <w:r>
        <w:rPr>
          <w:rFonts w:hint="eastAsia" w:hAnsi="仿宋" w:cs="仿宋"/>
          <w:b w:val="0"/>
          <w:bCs w:val="0"/>
          <w:kern w:val="0"/>
          <w:sz w:val="28"/>
          <w:szCs w:val="28"/>
        </w:rPr>
        <w:t>德化县城乡居民基本养老保险补助专项资金项目调研</w:t>
      </w:r>
      <w:bookmarkEnd w:id="189"/>
      <w:bookmarkEnd w:id="190"/>
      <w:bookmarkEnd w:id="191"/>
      <w:bookmarkEnd w:id="192"/>
    </w:p>
    <w:p>
      <w:pPr>
        <w:pStyle w:val="12"/>
        <w:rPr>
          <w:rFonts w:ascii="Times New Roman" w:hAnsi="仿宋" w:eastAsia="宋体" w:cs="仿宋"/>
          <w:b/>
          <w:bCs/>
          <w:kern w:val="0"/>
          <w:sz w:val="28"/>
          <w:szCs w:val="28"/>
        </w:rPr>
      </w:pPr>
      <w:r>
        <w:rPr>
          <w:rFonts w:hint="eastAsia" w:ascii="Times New Roman" w:hAnsi="仿宋" w:eastAsia="宋体" w:cs="仿宋"/>
          <w:b/>
          <w:bCs/>
          <w:kern w:val="0"/>
          <w:sz w:val="28"/>
          <w:szCs w:val="28"/>
        </w:rPr>
        <w:drawing>
          <wp:anchor distT="0" distB="0" distL="114300" distR="114300" simplePos="0" relativeHeight="251659264" behindDoc="0" locked="0" layoutInCell="1" allowOverlap="1">
            <wp:simplePos x="0" y="0"/>
            <wp:positionH relativeFrom="column">
              <wp:posOffset>-516890</wp:posOffset>
            </wp:positionH>
            <wp:positionV relativeFrom="paragraph">
              <wp:posOffset>34290</wp:posOffset>
            </wp:positionV>
            <wp:extent cx="2790825" cy="2520315"/>
            <wp:effectExtent l="0" t="0" r="9525" b="13335"/>
            <wp:wrapNone/>
            <wp:docPr id="8" name="图片 8" descr="微信图片_20231208085547"/>
            <wp:cNvGraphicFramePr/>
            <a:graphic xmlns:a="http://schemas.openxmlformats.org/drawingml/2006/main">
              <a:graphicData uri="http://schemas.openxmlformats.org/drawingml/2006/picture">
                <pic:pic xmlns:pic="http://schemas.openxmlformats.org/drawingml/2006/picture">
                  <pic:nvPicPr>
                    <pic:cNvPr id="8" name="图片 8" descr="微信图片_20231208085547"/>
                    <pic:cNvPicPr/>
                  </pic:nvPicPr>
                  <pic:blipFill>
                    <a:blip r:embed="rId9"/>
                    <a:stretch>
                      <a:fillRect/>
                    </a:stretch>
                  </pic:blipFill>
                  <pic:spPr>
                    <a:xfrm>
                      <a:off x="0" y="0"/>
                      <a:ext cx="2790825" cy="2520315"/>
                    </a:xfrm>
                    <a:prstGeom prst="rect">
                      <a:avLst/>
                    </a:prstGeom>
                  </pic:spPr>
                </pic:pic>
              </a:graphicData>
            </a:graphic>
          </wp:anchor>
        </w:drawing>
      </w:r>
    </w:p>
    <w:p>
      <w:pPr>
        <w:spacing w:line="360" w:lineRule="auto"/>
        <w:rPr>
          <w:rFonts w:ascii="Times New Roman" w:hAnsi="仿宋" w:eastAsia="宋体" w:cs="仿宋"/>
          <w:b/>
          <w:bCs/>
          <w:kern w:val="0"/>
          <w:sz w:val="28"/>
          <w:szCs w:val="28"/>
        </w:rPr>
      </w:pPr>
    </w:p>
    <w:p>
      <w:pPr>
        <w:pStyle w:val="12"/>
        <w:spacing w:line="360" w:lineRule="auto"/>
        <w:rPr>
          <w:rFonts w:ascii="Times New Roman" w:hAnsi="仿宋" w:eastAsia="宋体" w:cs="仿宋"/>
          <w:b/>
          <w:bCs/>
          <w:kern w:val="0"/>
          <w:sz w:val="28"/>
          <w:szCs w:val="28"/>
        </w:rPr>
      </w:pPr>
    </w:p>
    <w:p>
      <w:pPr>
        <w:spacing w:line="360" w:lineRule="auto"/>
        <w:rPr>
          <w:rFonts w:ascii="Times New Roman" w:hAnsi="仿宋" w:eastAsia="宋体" w:cs="仿宋"/>
          <w:b/>
          <w:bCs/>
          <w:kern w:val="0"/>
          <w:sz w:val="28"/>
          <w:szCs w:val="28"/>
        </w:rPr>
      </w:pPr>
    </w:p>
    <w:p>
      <w:pPr>
        <w:pStyle w:val="12"/>
        <w:spacing w:line="360" w:lineRule="auto"/>
        <w:rPr>
          <w:rFonts w:ascii="Times New Roman" w:hAnsi="仿宋" w:eastAsia="宋体" w:cs="仿宋"/>
          <w:b/>
          <w:bCs/>
          <w:kern w:val="0"/>
          <w:sz w:val="28"/>
          <w:szCs w:val="28"/>
        </w:rPr>
      </w:pPr>
    </w:p>
    <w:p>
      <w:pPr>
        <w:spacing w:line="360" w:lineRule="auto"/>
        <w:rPr>
          <w:rFonts w:ascii="Times New Roman" w:hAnsi="仿宋" w:eastAsia="宋体" w:cs="仿宋"/>
          <w:b/>
          <w:bCs/>
          <w:kern w:val="0"/>
          <w:sz w:val="28"/>
          <w:szCs w:val="28"/>
        </w:rPr>
      </w:pPr>
    </w:p>
    <w:p>
      <w:pPr>
        <w:pStyle w:val="12"/>
        <w:spacing w:line="360" w:lineRule="auto"/>
        <w:rPr>
          <w:rFonts w:ascii="Times New Roman" w:hAnsi="仿宋" w:eastAsia="宋体" w:cs="仿宋"/>
          <w:b/>
          <w:bCs/>
          <w:kern w:val="0"/>
          <w:sz w:val="28"/>
          <w:szCs w:val="28"/>
        </w:rPr>
      </w:pPr>
      <w:r>
        <w:rPr>
          <w:rFonts w:hint="eastAsia" w:ascii="Times New Roman" w:hAnsi="仿宋" w:eastAsia="宋体" w:cs="仿宋"/>
          <w:b/>
          <w:bCs/>
          <w:kern w:val="0"/>
          <w:sz w:val="28"/>
          <w:szCs w:val="28"/>
        </w:rPr>
        <w:drawing>
          <wp:anchor distT="0" distB="0" distL="114300" distR="114300" simplePos="0" relativeHeight="251661312" behindDoc="0" locked="0" layoutInCell="1" allowOverlap="1">
            <wp:simplePos x="0" y="0"/>
            <wp:positionH relativeFrom="column">
              <wp:posOffset>2611120</wp:posOffset>
            </wp:positionH>
            <wp:positionV relativeFrom="paragraph">
              <wp:posOffset>326390</wp:posOffset>
            </wp:positionV>
            <wp:extent cx="2805430" cy="2520315"/>
            <wp:effectExtent l="0" t="0" r="13970" b="13335"/>
            <wp:wrapNone/>
            <wp:docPr id="10" name="图片 10" descr="微信图片_20231208085745"/>
            <wp:cNvGraphicFramePr/>
            <a:graphic xmlns:a="http://schemas.openxmlformats.org/drawingml/2006/main">
              <a:graphicData uri="http://schemas.openxmlformats.org/drawingml/2006/picture">
                <pic:pic xmlns:pic="http://schemas.openxmlformats.org/drawingml/2006/picture">
                  <pic:nvPicPr>
                    <pic:cNvPr id="10" name="图片 10" descr="微信图片_20231208085745"/>
                    <pic:cNvPicPr/>
                  </pic:nvPicPr>
                  <pic:blipFill>
                    <a:blip r:embed="rId10"/>
                    <a:stretch>
                      <a:fillRect/>
                    </a:stretch>
                  </pic:blipFill>
                  <pic:spPr>
                    <a:xfrm>
                      <a:off x="0" y="0"/>
                      <a:ext cx="2805430" cy="2520315"/>
                    </a:xfrm>
                    <a:prstGeom prst="rect">
                      <a:avLst/>
                    </a:prstGeom>
                  </pic:spPr>
                </pic:pic>
              </a:graphicData>
            </a:graphic>
          </wp:anchor>
        </w:drawing>
      </w:r>
      <w:r>
        <w:rPr>
          <w:rFonts w:hint="eastAsia" w:ascii="Times New Roman" w:hAnsi="仿宋" w:eastAsia="宋体" w:cs="仿宋"/>
          <w:b/>
          <w:bCs/>
          <w:kern w:val="0"/>
          <w:sz w:val="28"/>
          <w:szCs w:val="28"/>
        </w:rPr>
        <w:drawing>
          <wp:anchor distT="0" distB="0" distL="114300" distR="114300" simplePos="0" relativeHeight="251660288" behindDoc="0" locked="0" layoutInCell="1" allowOverlap="1">
            <wp:simplePos x="0" y="0"/>
            <wp:positionH relativeFrom="column">
              <wp:posOffset>-612140</wp:posOffset>
            </wp:positionH>
            <wp:positionV relativeFrom="paragraph">
              <wp:posOffset>330835</wp:posOffset>
            </wp:positionV>
            <wp:extent cx="2879725" cy="2520315"/>
            <wp:effectExtent l="0" t="0" r="15875" b="13335"/>
            <wp:wrapNone/>
            <wp:docPr id="9" name="图片 9" descr="微信图片_20231208085738"/>
            <wp:cNvGraphicFramePr/>
            <a:graphic xmlns:a="http://schemas.openxmlformats.org/drawingml/2006/main">
              <a:graphicData uri="http://schemas.openxmlformats.org/drawingml/2006/picture">
                <pic:pic xmlns:pic="http://schemas.openxmlformats.org/drawingml/2006/picture">
                  <pic:nvPicPr>
                    <pic:cNvPr id="9" name="图片 9" descr="微信图片_20231208085738"/>
                    <pic:cNvPicPr/>
                  </pic:nvPicPr>
                  <pic:blipFill>
                    <a:blip r:embed="rId11"/>
                    <a:stretch>
                      <a:fillRect/>
                    </a:stretch>
                  </pic:blipFill>
                  <pic:spPr>
                    <a:xfrm>
                      <a:off x="0" y="0"/>
                      <a:ext cx="2879725" cy="2520315"/>
                    </a:xfrm>
                    <a:prstGeom prst="rect">
                      <a:avLst/>
                    </a:prstGeom>
                  </pic:spPr>
                </pic:pic>
              </a:graphicData>
            </a:graphic>
          </wp:anchor>
        </w:drawing>
      </w:r>
    </w:p>
    <w:p>
      <w:pPr>
        <w:rPr>
          <w:rFonts w:ascii="Times New Roman" w:hAnsi="仿宋" w:eastAsia="宋体" w:cs="仿宋"/>
          <w:b/>
          <w:bCs/>
          <w:kern w:val="0"/>
          <w:sz w:val="28"/>
          <w:szCs w:val="28"/>
        </w:rPr>
      </w:pPr>
    </w:p>
    <w:p>
      <w:pPr>
        <w:pStyle w:val="12"/>
        <w:spacing w:line="360" w:lineRule="auto"/>
        <w:rPr>
          <w:rFonts w:ascii="Times New Roman" w:hAnsi="仿宋" w:eastAsia="宋体" w:cs="仿宋"/>
          <w:b/>
          <w:bCs/>
          <w:kern w:val="0"/>
          <w:sz w:val="28"/>
          <w:szCs w:val="28"/>
        </w:rPr>
      </w:pPr>
    </w:p>
    <w:p>
      <w:pPr>
        <w:spacing w:line="360" w:lineRule="auto"/>
        <w:rPr>
          <w:rFonts w:ascii="Times New Roman" w:hAnsi="仿宋" w:eastAsia="宋体" w:cs="仿宋"/>
          <w:b/>
          <w:bCs/>
          <w:kern w:val="0"/>
          <w:sz w:val="28"/>
          <w:szCs w:val="28"/>
        </w:rPr>
      </w:pPr>
    </w:p>
    <w:p>
      <w:pPr>
        <w:pStyle w:val="12"/>
        <w:spacing w:line="360" w:lineRule="auto"/>
        <w:rPr>
          <w:rFonts w:ascii="Times New Roman" w:hAnsi="仿宋" w:eastAsia="宋体" w:cs="仿宋"/>
          <w:b/>
          <w:bCs/>
          <w:kern w:val="0"/>
          <w:sz w:val="28"/>
          <w:szCs w:val="28"/>
        </w:rPr>
      </w:pPr>
    </w:p>
    <w:p>
      <w:pPr>
        <w:spacing w:line="360" w:lineRule="auto"/>
        <w:rPr>
          <w:rFonts w:ascii="Times New Roman" w:hAnsi="仿宋" w:eastAsia="宋体" w:cs="仿宋"/>
          <w:b/>
          <w:bCs/>
          <w:kern w:val="0"/>
          <w:sz w:val="28"/>
          <w:szCs w:val="28"/>
        </w:rPr>
      </w:pPr>
    </w:p>
    <w:p>
      <w:pPr>
        <w:pStyle w:val="12"/>
        <w:spacing w:line="360" w:lineRule="auto"/>
        <w:rPr>
          <w:rFonts w:ascii="Times New Roman" w:hAnsi="仿宋" w:eastAsia="宋体" w:cs="仿宋"/>
          <w:b/>
          <w:bCs/>
          <w:kern w:val="0"/>
          <w:sz w:val="28"/>
          <w:szCs w:val="28"/>
        </w:rPr>
      </w:pPr>
    </w:p>
    <w:p>
      <w:pPr>
        <w:spacing w:line="360" w:lineRule="auto"/>
        <w:rPr>
          <w:rFonts w:ascii="Times New Roman" w:hAnsi="仿宋" w:eastAsia="宋体" w:cs="仿宋"/>
          <w:b/>
          <w:bCs/>
          <w:kern w:val="0"/>
          <w:sz w:val="28"/>
          <w:szCs w:val="28"/>
        </w:rPr>
      </w:pPr>
      <w:r>
        <w:rPr>
          <w:rFonts w:hint="eastAsia" w:ascii="Times New Roman" w:hAnsi="仿宋" w:eastAsia="宋体" w:cs="仿宋"/>
          <w:b/>
          <w:bCs/>
          <w:kern w:val="0"/>
          <w:sz w:val="28"/>
          <w:szCs w:val="28"/>
        </w:rPr>
        <w:drawing>
          <wp:anchor distT="0" distB="0" distL="114300" distR="114300" simplePos="0" relativeHeight="251664384" behindDoc="0" locked="0" layoutInCell="1" allowOverlap="1">
            <wp:simplePos x="0" y="0"/>
            <wp:positionH relativeFrom="column">
              <wp:posOffset>2580005</wp:posOffset>
            </wp:positionH>
            <wp:positionV relativeFrom="paragraph">
              <wp:posOffset>238760</wp:posOffset>
            </wp:positionV>
            <wp:extent cx="2879725" cy="2520315"/>
            <wp:effectExtent l="0" t="0" r="15875" b="13335"/>
            <wp:wrapNone/>
            <wp:docPr id="13" name="图片 13" descr="微信图片_20231208085759"/>
            <wp:cNvGraphicFramePr/>
            <a:graphic xmlns:a="http://schemas.openxmlformats.org/drawingml/2006/main">
              <a:graphicData uri="http://schemas.openxmlformats.org/drawingml/2006/picture">
                <pic:pic xmlns:pic="http://schemas.openxmlformats.org/drawingml/2006/picture">
                  <pic:nvPicPr>
                    <pic:cNvPr id="13" name="图片 13" descr="微信图片_20231208085759"/>
                    <pic:cNvPicPr/>
                  </pic:nvPicPr>
                  <pic:blipFill>
                    <a:blip r:embed="rId12"/>
                    <a:stretch>
                      <a:fillRect/>
                    </a:stretch>
                  </pic:blipFill>
                  <pic:spPr>
                    <a:xfrm>
                      <a:off x="0" y="0"/>
                      <a:ext cx="2879725" cy="2520315"/>
                    </a:xfrm>
                    <a:prstGeom prst="rect">
                      <a:avLst/>
                    </a:prstGeom>
                  </pic:spPr>
                </pic:pic>
              </a:graphicData>
            </a:graphic>
          </wp:anchor>
        </w:drawing>
      </w:r>
      <w:r>
        <w:rPr>
          <w:rFonts w:hint="eastAsia" w:ascii="Times New Roman" w:hAnsi="仿宋" w:eastAsia="宋体" w:cs="仿宋"/>
          <w:b/>
          <w:bCs/>
          <w:kern w:val="0"/>
          <w:sz w:val="28"/>
          <w:szCs w:val="28"/>
        </w:rPr>
        <w:drawing>
          <wp:anchor distT="0" distB="0" distL="114300" distR="114300" simplePos="0" relativeHeight="251663360" behindDoc="0" locked="0" layoutInCell="1" allowOverlap="1">
            <wp:simplePos x="0" y="0"/>
            <wp:positionH relativeFrom="column">
              <wp:posOffset>-588010</wp:posOffset>
            </wp:positionH>
            <wp:positionV relativeFrom="paragraph">
              <wp:posOffset>249555</wp:posOffset>
            </wp:positionV>
            <wp:extent cx="2879725" cy="2520315"/>
            <wp:effectExtent l="0" t="0" r="15875" b="13335"/>
            <wp:wrapNone/>
            <wp:docPr id="12" name="图片 12" descr="微信图片_20231208085754"/>
            <wp:cNvGraphicFramePr/>
            <a:graphic xmlns:a="http://schemas.openxmlformats.org/drawingml/2006/main">
              <a:graphicData uri="http://schemas.openxmlformats.org/drawingml/2006/picture">
                <pic:pic xmlns:pic="http://schemas.openxmlformats.org/drawingml/2006/picture">
                  <pic:nvPicPr>
                    <pic:cNvPr id="12" name="图片 12" descr="微信图片_20231208085754"/>
                    <pic:cNvPicPr/>
                  </pic:nvPicPr>
                  <pic:blipFill>
                    <a:blip r:embed="rId13"/>
                    <a:stretch>
                      <a:fillRect/>
                    </a:stretch>
                  </pic:blipFill>
                  <pic:spPr>
                    <a:xfrm>
                      <a:off x="0" y="0"/>
                      <a:ext cx="2879725" cy="2520315"/>
                    </a:xfrm>
                    <a:prstGeom prst="rect">
                      <a:avLst/>
                    </a:prstGeom>
                  </pic:spPr>
                </pic:pic>
              </a:graphicData>
            </a:graphic>
          </wp:anchor>
        </w:drawing>
      </w:r>
    </w:p>
    <w:p>
      <w:pPr>
        <w:pStyle w:val="12"/>
        <w:rPr>
          <w:rFonts w:ascii="Times New Roman" w:hAnsi="仿宋" w:eastAsia="宋体" w:cs="仿宋"/>
          <w:b/>
          <w:bCs/>
          <w:kern w:val="0"/>
          <w:sz w:val="28"/>
          <w:szCs w:val="28"/>
        </w:rPr>
      </w:pPr>
    </w:p>
    <w:p>
      <w:pPr>
        <w:spacing w:line="360" w:lineRule="auto"/>
        <w:rPr>
          <w:rFonts w:ascii="Times New Roman" w:hAnsi="仿宋" w:eastAsia="宋体" w:cs="仿宋"/>
          <w:b/>
          <w:bCs/>
          <w:kern w:val="0"/>
          <w:sz w:val="28"/>
          <w:szCs w:val="28"/>
        </w:rPr>
      </w:pPr>
    </w:p>
    <w:p>
      <w:pPr>
        <w:pStyle w:val="12"/>
        <w:spacing w:line="360" w:lineRule="auto"/>
        <w:rPr>
          <w:rFonts w:ascii="Times New Roman" w:hAnsi="仿宋" w:eastAsia="宋体" w:cs="仿宋"/>
          <w:b/>
          <w:bCs/>
          <w:kern w:val="0"/>
          <w:sz w:val="28"/>
          <w:szCs w:val="28"/>
        </w:rPr>
      </w:pPr>
    </w:p>
    <w:p>
      <w:pPr>
        <w:pStyle w:val="12"/>
        <w:spacing w:line="360" w:lineRule="auto"/>
        <w:rPr>
          <w:rFonts w:ascii="Times New Roman" w:eastAsia="宋体"/>
          <w:sz w:val="28"/>
        </w:rPr>
      </w:pPr>
    </w:p>
    <w:p>
      <w:pPr>
        <w:spacing w:line="360" w:lineRule="auto"/>
        <w:rPr>
          <w:rFonts w:ascii="Times New Roman" w:eastAsia="宋体"/>
          <w:sz w:val="28"/>
        </w:rPr>
      </w:pPr>
    </w:p>
    <w:p>
      <w:pPr>
        <w:adjustRightInd w:val="0"/>
        <w:spacing w:line="360" w:lineRule="auto"/>
        <w:jc w:val="left"/>
        <w:rPr>
          <w:rFonts w:ascii="Times New Roman" w:hAnsi="仿宋" w:eastAsia="宋体" w:cs="仿宋"/>
          <w:kern w:val="0"/>
          <w:sz w:val="28"/>
          <w:szCs w:val="28"/>
        </w:rPr>
      </w:pPr>
      <w:r>
        <w:rPr>
          <w:rFonts w:hint="eastAsia" w:ascii="Times New Roman" w:hAnsi="仿宋" w:eastAsia="宋体" w:cs="仿宋"/>
          <w:kern w:val="0"/>
          <w:sz w:val="28"/>
          <w:szCs w:val="28"/>
        </w:rPr>
        <w:t>附件3：</w:t>
      </w:r>
    </w:p>
    <w:p>
      <w:pPr>
        <w:adjustRightInd w:val="0"/>
        <w:spacing w:line="360" w:lineRule="auto"/>
        <w:jc w:val="center"/>
        <w:rPr>
          <w:rFonts w:hint="eastAsia" w:ascii="Times New Roman" w:eastAsia="宋体" w:hAnsiTheme="minorEastAsia" w:cstheme="minorEastAsia"/>
          <w:b/>
          <w:kern w:val="0"/>
          <w:sz w:val="28"/>
          <w:szCs w:val="28"/>
        </w:rPr>
      </w:pPr>
    </w:p>
    <w:p>
      <w:pPr>
        <w:adjustRightInd w:val="0"/>
        <w:spacing w:line="360" w:lineRule="auto"/>
        <w:jc w:val="left"/>
        <w:rPr>
          <w:rFonts w:hint="eastAsia" w:ascii="Times New Roman" w:eastAsia="宋体" w:hAnsiTheme="minorEastAsia" w:cstheme="minorEastAsia"/>
          <w:b w:val="0"/>
          <w:bCs/>
          <w:kern w:val="0"/>
          <w:sz w:val="28"/>
          <w:szCs w:val="28"/>
          <w:lang w:val="en-US" w:eastAsia="zh-CN"/>
        </w:rPr>
      </w:pPr>
      <w:r>
        <w:rPr>
          <w:rFonts w:hint="eastAsia" w:ascii="Times New Roman" w:eastAsia="宋体" w:hAnsiTheme="minorEastAsia" w:cstheme="minorEastAsia"/>
          <w:b w:val="0"/>
          <w:bCs/>
          <w:kern w:val="0"/>
          <w:sz w:val="28"/>
          <w:szCs w:val="28"/>
          <w:lang w:eastAsia="zh-CN"/>
        </w:rPr>
        <w:t>附件</w:t>
      </w:r>
      <w:r>
        <w:rPr>
          <w:rFonts w:hint="eastAsia" w:ascii="Times New Roman" w:eastAsia="宋体" w:hAnsiTheme="minorEastAsia" w:cstheme="minorEastAsia"/>
          <w:b w:val="0"/>
          <w:bCs/>
          <w:kern w:val="0"/>
          <w:sz w:val="28"/>
          <w:szCs w:val="28"/>
          <w:lang w:val="en-US" w:eastAsia="zh-CN"/>
        </w:rPr>
        <w:t>3</w:t>
      </w:r>
    </w:p>
    <w:p>
      <w:pPr>
        <w:adjustRightInd w:val="0"/>
        <w:spacing w:line="360" w:lineRule="auto"/>
        <w:jc w:val="center"/>
        <w:rPr>
          <w:rFonts w:ascii="Times New Roman" w:eastAsia="宋体"/>
          <w:sz w:val="28"/>
        </w:rPr>
      </w:pPr>
      <w:r>
        <w:rPr>
          <w:rFonts w:hint="eastAsia" w:ascii="Times New Roman" w:eastAsia="宋体" w:hAnsiTheme="minorEastAsia" w:cstheme="minorEastAsia"/>
          <w:b/>
          <w:kern w:val="0"/>
          <w:sz w:val="28"/>
          <w:szCs w:val="28"/>
        </w:rPr>
        <w:t>2022年度德化县城乡居民基本养老保险补助专项资金绩效得分表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166"/>
        <w:gridCol w:w="1337"/>
        <w:gridCol w:w="2990"/>
        <w:gridCol w:w="893"/>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pct"/>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696" w:type="pct"/>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798" w:type="pct"/>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1784" w:type="pct"/>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评分标准</w:t>
            </w:r>
          </w:p>
        </w:tc>
        <w:tc>
          <w:tcPr>
            <w:tcW w:w="5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 w:val="21"/>
                <w:szCs w:val="21"/>
              </w:rPr>
            </w:pPr>
            <w:r>
              <w:rPr>
                <w:rFonts w:hint="eastAsia" w:ascii="宋体" w:hAnsi="宋体" w:eastAsia="宋体" w:cs="宋体"/>
                <w:b/>
                <w:bCs/>
                <w:kern w:val="0"/>
                <w:sz w:val="21"/>
                <w:szCs w:val="21"/>
              </w:rPr>
              <w:t>分值</w:t>
            </w:r>
          </w:p>
        </w:tc>
        <w:tc>
          <w:tcPr>
            <w:tcW w:w="561" w:type="pct"/>
            <w:vAlign w:val="center"/>
          </w:tcPr>
          <w:p>
            <w:pPr>
              <w:jc w:val="center"/>
              <w:rPr>
                <w:rFonts w:ascii="宋体" w:hAnsi="宋体" w:eastAsia="宋体" w:cs="宋体"/>
                <w:b/>
                <w:bCs/>
                <w:kern w:val="0"/>
                <w:sz w:val="21"/>
                <w:szCs w:val="21"/>
              </w:rPr>
            </w:pPr>
            <w:r>
              <w:rPr>
                <w:rFonts w:hint="eastAsia" w:ascii="宋体" w:hAnsi="宋体" w:eastAsia="宋体" w:cs="宋体"/>
                <w:b/>
                <w:bCs/>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 w:type="dxa"/>
            <w:vMerge w:val="restart"/>
            <w:vAlign w:val="center"/>
          </w:tcPr>
          <w:p>
            <w:pPr>
              <w:ind w:firstLine="181" w:firstLineChars="100"/>
              <w:rPr>
                <w:rFonts w:hint="eastAsia" w:ascii="宋体" w:hAnsi="宋体" w:eastAsia="宋体" w:cs="宋体"/>
                <w:b/>
                <w:bCs/>
                <w:kern w:val="0"/>
                <w:sz w:val="18"/>
                <w:szCs w:val="18"/>
              </w:rPr>
            </w:pPr>
            <w:r>
              <w:rPr>
                <w:rFonts w:hint="eastAsia" w:ascii="宋体" w:hAnsi="宋体" w:eastAsia="宋体" w:cs="宋体"/>
                <w:b/>
                <w:bCs/>
                <w:kern w:val="0"/>
                <w:sz w:val="18"/>
                <w:szCs w:val="18"/>
              </w:rPr>
              <w:t>投入</w:t>
            </w:r>
          </w:p>
          <w:p>
            <w:pPr>
              <w:jc w:val="center"/>
              <w:rPr>
                <w:rFonts w:ascii="宋体" w:hAnsi="宋体" w:eastAsia="宋体" w:cs="宋体"/>
                <w:b/>
                <w:bCs/>
                <w:kern w:val="0"/>
                <w:sz w:val="18"/>
                <w:szCs w:val="18"/>
              </w:rPr>
            </w:pPr>
            <w:r>
              <w:rPr>
                <w:rFonts w:hint="eastAsia" w:ascii="宋体" w:hAnsi="宋体" w:eastAsia="宋体" w:cs="宋体"/>
                <w:b/>
                <w:bCs/>
                <w:kern w:val="0"/>
                <w:sz w:val="18"/>
                <w:szCs w:val="18"/>
              </w:rPr>
              <w:t>（20分）</w:t>
            </w:r>
          </w:p>
        </w:tc>
        <w:tc>
          <w:tcPr>
            <w:tcW w:w="1166" w:type="dxa"/>
            <w:vMerge w:val="restart"/>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项目立项</w:t>
            </w:r>
          </w:p>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（6分）</w:t>
            </w:r>
          </w:p>
        </w:tc>
        <w:tc>
          <w:tcPr>
            <w:tcW w:w="1337" w:type="dxa"/>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充分性</w:t>
            </w:r>
          </w:p>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（3分）</w:t>
            </w:r>
          </w:p>
        </w:tc>
        <w:tc>
          <w:tcPr>
            <w:tcW w:w="2989" w:type="dxa"/>
            <w:vAlign w:val="top"/>
          </w:tcPr>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评价要点：</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①项目立项是否符合国家法律法规、国民经济发展规划和相关政策；</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②项目立项是否符合行业发展规划和政策要求；</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③项目立项是否与部门职责范围相符，属于部门履职所需；</w:t>
            </w:r>
          </w:p>
          <w:p>
            <w:pPr>
              <w:widowControl/>
              <w:spacing w:line="0" w:lineRule="atLeas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④项目是否属于公共财政支持范围，是否符合中央、地方事权支出责任划分原则</w:t>
            </w:r>
            <w:r>
              <w:rPr>
                <w:rFonts w:hint="eastAsia" w:ascii="宋体" w:hAnsi="宋体" w:eastAsia="宋体" w:cs="宋体"/>
                <w:color w:val="000000"/>
                <w:kern w:val="0"/>
                <w:sz w:val="18"/>
                <w:szCs w:val="18"/>
                <w:lang w:eastAsia="zh-CN"/>
              </w:rPr>
              <w:t>。</w:t>
            </w:r>
          </w:p>
          <w:p>
            <w:pPr>
              <w:rPr>
                <w:rFonts w:ascii="宋体" w:hAnsi="宋体" w:eastAsia="宋体" w:cs="宋体"/>
                <w:color w:val="000000"/>
                <w:kern w:val="0"/>
                <w:sz w:val="18"/>
                <w:szCs w:val="18"/>
              </w:rPr>
            </w:pPr>
            <w:r>
              <w:rPr>
                <w:rFonts w:hint="eastAsia" w:ascii="宋体" w:hAnsi="宋体" w:eastAsia="宋体" w:cs="宋体"/>
                <w:kern w:val="0"/>
                <w:sz w:val="18"/>
                <w:szCs w:val="18"/>
              </w:rPr>
              <w:t>一项不符合扣1分，严重的此项完全不得分。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3</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规范性</w:t>
            </w:r>
          </w:p>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（3分）</w:t>
            </w:r>
          </w:p>
        </w:tc>
        <w:tc>
          <w:tcPr>
            <w:tcW w:w="2989" w:type="dxa"/>
            <w:vAlign w:val="top"/>
          </w:tcPr>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评价要点：</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①项目是否按照规定的程序申请设立，审批文件、材料是否符合相关要求；</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②事前是否已经过必要的可行性研究、专家论证、风险评估、绩效评估、集体决策。</w:t>
            </w:r>
          </w:p>
          <w:p>
            <w:pPr>
              <w:rPr>
                <w:rFonts w:ascii="宋体" w:hAnsi="宋体" w:eastAsia="宋体" w:cs="宋体"/>
                <w:kern w:val="0"/>
                <w:sz w:val="18"/>
                <w:szCs w:val="18"/>
              </w:rPr>
            </w:pPr>
            <w:r>
              <w:rPr>
                <w:rFonts w:hint="eastAsia" w:ascii="宋体" w:hAnsi="宋体" w:eastAsia="宋体" w:cs="宋体"/>
                <w:kern w:val="0"/>
                <w:sz w:val="18"/>
                <w:szCs w:val="18"/>
              </w:rPr>
              <w:t>一项不符合扣1分，严重的此项完全不得分。</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1"/>
                <w:szCs w:val="21"/>
              </w:rPr>
            </w:pPr>
            <w:r>
              <w:rPr>
                <w:rFonts w:hint="eastAsia" w:ascii="宋体" w:hAnsi="宋体" w:eastAsia="宋体" w:cs="宋体"/>
                <w:kern w:val="0"/>
                <w:sz w:val="18"/>
                <w:szCs w:val="18"/>
              </w:rPr>
              <w:t>3</w:t>
            </w:r>
          </w:p>
        </w:tc>
        <w:tc>
          <w:tcPr>
            <w:tcW w:w="561" w:type="pc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restart"/>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w:t>
            </w:r>
          </w:p>
          <w:p>
            <w:pPr>
              <w:jc w:val="center"/>
              <w:rPr>
                <w:rFonts w:ascii="宋体" w:hAnsi="宋体" w:eastAsia="宋体" w:cs="宋体"/>
                <w:kern w:val="0"/>
                <w:sz w:val="18"/>
                <w:szCs w:val="18"/>
              </w:rPr>
            </w:pPr>
            <w:r>
              <w:rPr>
                <w:rFonts w:hint="eastAsia" w:ascii="宋体" w:hAnsi="宋体" w:eastAsia="宋体" w:cs="宋体"/>
                <w:color w:val="000000"/>
                <w:kern w:val="0"/>
                <w:sz w:val="18"/>
                <w:szCs w:val="18"/>
              </w:rPr>
              <w:t>（6分）</w:t>
            </w:r>
          </w:p>
        </w:tc>
        <w:tc>
          <w:tcPr>
            <w:tcW w:w="1337" w:type="dxa"/>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时效性</w:t>
            </w:r>
          </w:p>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（3分）</w:t>
            </w:r>
          </w:p>
        </w:tc>
        <w:tc>
          <w:tcPr>
            <w:tcW w:w="2989"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rPr>
                <w:rFonts w:ascii="宋体" w:hAnsi="宋体" w:eastAsia="宋体" w:cs="宋体"/>
                <w:kern w:val="0"/>
                <w:sz w:val="18"/>
                <w:szCs w:val="18"/>
              </w:rPr>
            </w:pPr>
            <w:r>
              <w:rPr>
                <w:rFonts w:hint="eastAsia" w:ascii="宋体" w:hAnsi="宋体" w:eastAsia="宋体" w:cs="宋体"/>
                <w:kern w:val="0"/>
                <w:sz w:val="18"/>
                <w:szCs w:val="18"/>
              </w:rPr>
              <w:t>项目实际实施月份是否晚于计划月份。实际实施月份不晚于计划月份的得满分，比计划月份晚1个月以内扣1分，晚2个月以内扣2分，比计划月份晚2个月以上不得分。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3</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明确性</w:t>
            </w:r>
          </w:p>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（3分）</w:t>
            </w:r>
          </w:p>
        </w:tc>
        <w:tc>
          <w:tcPr>
            <w:tcW w:w="2989" w:type="dxa"/>
            <w:vAlign w:val="top"/>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评价要点：</w:t>
            </w:r>
          </w:p>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①是否将项目绩效目标细化分解为具体的绩效指标；</w:t>
            </w:r>
          </w:p>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②是否通过清晰、可衡量的指标值予以体现；</w:t>
            </w:r>
          </w:p>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③是否与项目目标任务数或计划数相对应。</w:t>
            </w:r>
          </w:p>
          <w:p>
            <w:pPr>
              <w:rPr>
                <w:rFonts w:ascii="宋体" w:hAnsi="宋体" w:eastAsia="宋体" w:cs="宋体"/>
                <w:kern w:val="0"/>
                <w:sz w:val="18"/>
                <w:szCs w:val="18"/>
              </w:rPr>
            </w:pPr>
            <w:r>
              <w:rPr>
                <w:rFonts w:hint="eastAsia" w:ascii="宋体" w:hAnsi="宋体" w:eastAsia="宋体" w:cs="宋体"/>
                <w:kern w:val="0"/>
                <w:sz w:val="18"/>
                <w:szCs w:val="18"/>
              </w:rPr>
              <w:t>一项不符合扣1分，严重的此项完全不得分。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3</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资金投入</w:t>
            </w:r>
          </w:p>
          <w:p>
            <w:pPr>
              <w:jc w:val="center"/>
              <w:rPr>
                <w:rFonts w:ascii="宋体" w:hAnsi="宋体" w:eastAsia="宋体" w:cs="宋体"/>
                <w:kern w:val="0"/>
                <w:sz w:val="18"/>
                <w:szCs w:val="18"/>
              </w:rPr>
            </w:pPr>
            <w:r>
              <w:rPr>
                <w:rFonts w:hint="eastAsia" w:ascii="宋体" w:hAnsi="宋体" w:eastAsia="宋体" w:cs="宋体"/>
                <w:kern w:val="0"/>
                <w:sz w:val="18"/>
                <w:szCs w:val="18"/>
              </w:rPr>
              <w:t>（8分）</w:t>
            </w: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预算编制</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科学性</w:t>
            </w:r>
          </w:p>
          <w:p>
            <w:pPr>
              <w:jc w:val="center"/>
              <w:rPr>
                <w:rFonts w:ascii="宋体" w:hAnsi="宋体" w:eastAsia="宋体" w:cs="宋体"/>
                <w:color w:val="000000"/>
                <w:kern w:val="0"/>
                <w:sz w:val="18"/>
                <w:szCs w:val="18"/>
              </w:rPr>
            </w:pPr>
            <w:r>
              <w:rPr>
                <w:rFonts w:hint="eastAsia" w:ascii="宋体" w:hAnsi="宋体" w:eastAsia="宋体" w:cs="宋体"/>
                <w:kern w:val="0"/>
                <w:sz w:val="18"/>
                <w:szCs w:val="18"/>
              </w:rPr>
              <w:t>（4分）</w:t>
            </w:r>
          </w:p>
        </w:tc>
        <w:tc>
          <w:tcPr>
            <w:tcW w:w="2989" w:type="dxa"/>
            <w:vAlign w:val="to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①预算编制是否经过科学论证</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②预算内容与项目内容是否匹配；</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③预算额度测算依据是否充分，是否按照标准编制</w:t>
            </w:r>
          </w:p>
          <w:p>
            <w:pPr>
              <w:rPr>
                <w:rFonts w:ascii="宋体" w:hAnsi="宋体" w:eastAsia="宋体" w:cs="宋体"/>
                <w:kern w:val="0"/>
                <w:sz w:val="18"/>
                <w:szCs w:val="18"/>
              </w:rPr>
            </w:pPr>
            <w:r>
              <w:rPr>
                <w:rFonts w:hint="eastAsia" w:ascii="宋体" w:hAnsi="宋体" w:eastAsia="宋体" w:cs="宋体"/>
                <w:kern w:val="0"/>
                <w:sz w:val="18"/>
                <w:szCs w:val="18"/>
              </w:rPr>
              <w:t>一项不符合扣1分，严重的此项完全不得分。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资金分配</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合理性</w:t>
            </w:r>
          </w:p>
          <w:p>
            <w:pPr>
              <w:jc w:val="center"/>
              <w:rPr>
                <w:rFonts w:ascii="宋体" w:hAnsi="宋体" w:eastAsia="宋体" w:cs="宋体"/>
                <w:kern w:val="0"/>
                <w:sz w:val="18"/>
                <w:szCs w:val="18"/>
              </w:rPr>
            </w:pPr>
            <w:r>
              <w:rPr>
                <w:rFonts w:hint="eastAsia" w:ascii="宋体" w:hAnsi="宋体" w:eastAsia="宋体" w:cs="宋体"/>
                <w:kern w:val="0"/>
                <w:sz w:val="18"/>
                <w:szCs w:val="18"/>
              </w:rPr>
              <w:t>（4分）</w:t>
            </w:r>
          </w:p>
        </w:tc>
        <w:tc>
          <w:tcPr>
            <w:tcW w:w="2989" w:type="dxa"/>
            <w:vAlign w:val="to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①预算资金分配依据是否充分；</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②资金分配额度是否合理，与项目单位或地方实际是否相适应。</w:t>
            </w:r>
          </w:p>
          <w:p>
            <w:pPr>
              <w:rPr>
                <w:rFonts w:ascii="宋体" w:hAnsi="宋体" w:eastAsia="宋体" w:cs="宋体"/>
                <w:color w:val="000000"/>
                <w:kern w:val="0"/>
                <w:sz w:val="18"/>
                <w:szCs w:val="18"/>
              </w:rPr>
            </w:pPr>
            <w:r>
              <w:rPr>
                <w:rFonts w:hint="eastAsia" w:ascii="宋体" w:hAnsi="宋体" w:eastAsia="宋体" w:cs="宋体"/>
                <w:kern w:val="0"/>
                <w:sz w:val="18"/>
                <w:szCs w:val="18"/>
              </w:rPr>
              <w:t>一项不符合扣1分。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49" w:type="dxa"/>
            <w:vMerge w:val="restart"/>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过程</w:t>
            </w:r>
          </w:p>
          <w:p>
            <w:pPr>
              <w:jc w:val="center"/>
              <w:rPr>
                <w:rFonts w:ascii="宋体" w:hAnsi="宋体" w:eastAsia="宋体" w:cs="宋体"/>
                <w:b/>
                <w:bCs/>
                <w:kern w:val="0"/>
                <w:sz w:val="18"/>
                <w:szCs w:val="18"/>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20</w:t>
            </w:r>
            <w:r>
              <w:rPr>
                <w:rFonts w:hint="eastAsia" w:ascii="宋体" w:hAnsi="宋体" w:eastAsia="宋体" w:cs="宋体"/>
                <w:b/>
                <w:bCs/>
                <w:kern w:val="0"/>
                <w:sz w:val="18"/>
                <w:szCs w:val="18"/>
              </w:rPr>
              <w:t>分）</w:t>
            </w:r>
          </w:p>
        </w:tc>
        <w:tc>
          <w:tcPr>
            <w:tcW w:w="1166"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资金管理</w:t>
            </w:r>
          </w:p>
          <w:p>
            <w:pPr>
              <w:jc w:val="center"/>
              <w:rPr>
                <w:rFonts w:ascii="宋体" w:hAnsi="宋体" w:eastAsia="宋体" w:cs="宋体"/>
                <w:kern w:val="0"/>
                <w:sz w:val="18"/>
                <w:szCs w:val="18"/>
              </w:rPr>
            </w:pPr>
            <w:r>
              <w:rPr>
                <w:rFonts w:hint="eastAsia" w:ascii="宋体" w:hAnsi="宋体" w:eastAsia="宋体" w:cs="宋体"/>
                <w:kern w:val="0"/>
                <w:sz w:val="18"/>
                <w:szCs w:val="18"/>
              </w:rPr>
              <w:t>（7分）</w:t>
            </w: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资金到位率</w:t>
            </w:r>
          </w:p>
          <w:p>
            <w:pPr>
              <w:jc w:val="center"/>
              <w:rPr>
                <w:rFonts w:ascii="宋体" w:hAnsi="宋体" w:eastAsia="宋体" w:cs="宋体"/>
                <w:kern w:val="0"/>
                <w:sz w:val="18"/>
                <w:szCs w:val="18"/>
              </w:rPr>
            </w:pPr>
            <w:r>
              <w:rPr>
                <w:rFonts w:hint="eastAsia" w:ascii="宋体" w:hAnsi="宋体" w:eastAsia="宋体" w:cs="宋体"/>
                <w:kern w:val="0"/>
                <w:sz w:val="18"/>
                <w:szCs w:val="18"/>
              </w:rPr>
              <w:t>（3分）</w:t>
            </w:r>
          </w:p>
        </w:tc>
        <w:tc>
          <w:tcPr>
            <w:tcW w:w="2989" w:type="dxa"/>
            <w:vAlign w:val="top"/>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资金到位率=（实际到位资金/预算资金）×100%。</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实际到位资金：一定时期（本年度或项目期）内落实到具体项目的资金。</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预算资金：一定时期（本年度或项目期）内预算安排到具体项目的资金。</w:t>
            </w:r>
          </w:p>
          <w:p>
            <w:pPr>
              <w:rPr>
                <w:rFonts w:ascii="宋体" w:hAnsi="宋体" w:eastAsia="宋体" w:cs="宋体"/>
                <w:spacing w:val="3"/>
                <w:kern w:val="0"/>
                <w:sz w:val="18"/>
                <w:szCs w:val="18"/>
              </w:rPr>
            </w:pPr>
            <w:r>
              <w:rPr>
                <w:rFonts w:hint="eastAsia" w:ascii="宋体" w:hAnsi="宋体" w:eastAsia="宋体" w:cs="宋体"/>
                <w:kern w:val="0"/>
                <w:sz w:val="18"/>
                <w:szCs w:val="18"/>
              </w:rPr>
              <w:t>资金到位率达到100%</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满分，每少5个百分点扣1分，扣完为止。</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3</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预算执行率</w:t>
            </w:r>
          </w:p>
          <w:p>
            <w:pPr>
              <w:jc w:val="center"/>
              <w:rPr>
                <w:rFonts w:ascii="宋体" w:hAnsi="宋体" w:eastAsia="宋体" w:cs="宋体"/>
                <w:kern w:val="0"/>
                <w:sz w:val="18"/>
                <w:szCs w:val="18"/>
              </w:rPr>
            </w:pPr>
            <w:r>
              <w:rPr>
                <w:rFonts w:hint="eastAsia" w:ascii="宋体" w:hAnsi="宋体" w:eastAsia="宋体" w:cs="宋体"/>
                <w:kern w:val="0"/>
                <w:sz w:val="18"/>
                <w:szCs w:val="18"/>
              </w:rPr>
              <w:t>（2分）</w:t>
            </w:r>
          </w:p>
        </w:tc>
        <w:tc>
          <w:tcPr>
            <w:tcW w:w="2989" w:type="dxa"/>
            <w:vAlign w:val="top"/>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rPr>
              <w:t>评价要点：</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预算执行率=（实际支出资金/实际到位资金）×100%。</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实际支出资金：一定时期（本年度或项目期）内项目实际拨付的资金。</w:t>
            </w:r>
          </w:p>
          <w:p>
            <w:pPr>
              <w:rPr>
                <w:rFonts w:ascii="宋体" w:hAnsi="宋体" w:eastAsia="宋体" w:cs="宋体"/>
                <w:kern w:val="0"/>
                <w:sz w:val="18"/>
                <w:szCs w:val="18"/>
              </w:rPr>
            </w:pPr>
            <w:r>
              <w:rPr>
                <w:rFonts w:hint="eastAsia" w:ascii="宋体" w:hAnsi="宋体" w:eastAsia="宋体" w:cs="宋体"/>
                <w:kern w:val="0"/>
                <w:sz w:val="18"/>
                <w:szCs w:val="18"/>
              </w:rPr>
              <w:t>资金使用率大于95%</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满分，每少5个百分点扣1分，扣完为止。</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2</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资金使用</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合规性</w:t>
            </w:r>
          </w:p>
          <w:p>
            <w:pPr>
              <w:jc w:val="center"/>
              <w:rPr>
                <w:rFonts w:ascii="宋体" w:hAnsi="宋体" w:eastAsia="宋体" w:cs="宋体"/>
                <w:kern w:val="0"/>
                <w:sz w:val="18"/>
                <w:szCs w:val="18"/>
              </w:rPr>
            </w:pPr>
            <w:r>
              <w:rPr>
                <w:rFonts w:hint="eastAsia" w:ascii="宋体" w:hAnsi="宋体" w:eastAsia="宋体" w:cs="宋体"/>
                <w:kern w:val="0"/>
                <w:sz w:val="18"/>
                <w:szCs w:val="18"/>
              </w:rPr>
              <w:t>（2分）</w:t>
            </w:r>
          </w:p>
        </w:tc>
        <w:tc>
          <w:tcPr>
            <w:tcW w:w="2989" w:type="dxa"/>
            <w:vAlign w:val="to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①是否符合国家财经法规和财务管理制度以及有关专项资金管理办法的规定</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②资金的拨付是否有完整的审批程序和手续</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③是否符合项目预算批复或合同规定的用途；</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④是否存在截留、挤占、挪用、虚列支出等情况。</w:t>
            </w:r>
          </w:p>
          <w:p>
            <w:pPr>
              <w:rPr>
                <w:rFonts w:ascii="宋体" w:hAnsi="宋体" w:eastAsia="宋体" w:cs="宋体"/>
                <w:color w:val="000000"/>
                <w:kern w:val="0"/>
                <w:sz w:val="18"/>
                <w:szCs w:val="18"/>
              </w:rPr>
            </w:pPr>
            <w:r>
              <w:rPr>
                <w:rFonts w:hint="eastAsia" w:ascii="宋体" w:hAnsi="宋体" w:eastAsia="宋体" w:cs="宋体"/>
                <w:kern w:val="0"/>
                <w:sz w:val="18"/>
                <w:szCs w:val="18"/>
              </w:rPr>
              <w:t>一项不符合扣0.5分，严重的此项完全不得分。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2</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组织实施</w:t>
            </w:r>
          </w:p>
          <w:p>
            <w:pPr>
              <w:jc w:val="center"/>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分）</w:t>
            </w: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管理制度</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健全性</w:t>
            </w:r>
          </w:p>
          <w:p>
            <w:pPr>
              <w:jc w:val="center"/>
              <w:rPr>
                <w:rFonts w:ascii="宋体" w:hAnsi="宋体" w:eastAsia="宋体" w:cs="宋体"/>
                <w:color w:val="000000"/>
                <w:kern w:val="0"/>
                <w:sz w:val="18"/>
                <w:szCs w:val="18"/>
              </w:rPr>
            </w:pPr>
            <w:r>
              <w:rPr>
                <w:rFonts w:hint="eastAsia" w:ascii="宋体" w:hAnsi="宋体" w:eastAsia="宋体" w:cs="宋体"/>
                <w:kern w:val="0"/>
                <w:sz w:val="18"/>
                <w:szCs w:val="18"/>
              </w:rPr>
              <w:t>（4分）</w:t>
            </w:r>
          </w:p>
        </w:tc>
        <w:tc>
          <w:tcPr>
            <w:tcW w:w="2989" w:type="dxa"/>
            <w:vAlign w:val="top"/>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评价要点：</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①是否已制定或具有相应的财务和业务管理制度；</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②财务和业务管理制度是否合法、合规、完整。</w:t>
            </w:r>
          </w:p>
          <w:p>
            <w:pPr>
              <w:rPr>
                <w:rFonts w:ascii="宋体" w:hAnsi="宋体" w:eastAsia="宋体" w:cs="宋体"/>
                <w:color w:val="000000"/>
                <w:kern w:val="0"/>
                <w:sz w:val="18"/>
                <w:szCs w:val="18"/>
              </w:rPr>
            </w:pPr>
            <w:r>
              <w:rPr>
                <w:rFonts w:hint="eastAsia" w:ascii="宋体" w:hAnsi="宋体" w:eastAsia="宋体" w:cs="宋体"/>
                <w:kern w:val="0"/>
                <w:sz w:val="18"/>
                <w:szCs w:val="18"/>
              </w:rPr>
              <w:t>一项不符合扣1分。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049" w:type="dxa"/>
            <w:vMerge w:val="continue"/>
            <w:vAlign w:val="center"/>
          </w:tcPr>
          <w:p>
            <w:pPr>
              <w:jc w:val="center"/>
              <w:rPr>
                <w:rFonts w:ascii="宋体" w:hAnsi="宋体" w:eastAsia="宋体" w:cs="宋体"/>
                <w:b/>
                <w:bCs/>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有效性</w:t>
            </w:r>
          </w:p>
          <w:p>
            <w:pPr>
              <w:widowControl/>
              <w:spacing w:line="0" w:lineRule="atLeast"/>
              <w:jc w:val="center"/>
              <w:rPr>
                <w:rFonts w:ascii="宋体" w:hAnsi="宋体" w:eastAsia="宋体" w:cs="宋体"/>
                <w:kern w:val="0"/>
                <w:sz w:val="18"/>
                <w:szCs w:val="18"/>
              </w:rPr>
            </w:pPr>
            <w:r>
              <w:rPr>
                <w:rFonts w:hint="eastAsia" w:ascii="宋体" w:hAnsi="宋体" w:eastAsia="宋体" w:cs="宋体"/>
                <w:color w:val="000000"/>
                <w:kern w:val="0"/>
                <w:sz w:val="18"/>
                <w:szCs w:val="18"/>
              </w:rPr>
              <w:t>（4分）</w:t>
            </w:r>
          </w:p>
        </w:tc>
        <w:tc>
          <w:tcPr>
            <w:tcW w:w="2989" w:type="dxa"/>
            <w:vAlign w:val="to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①是否遵守相关法律法规和相关管理规定；</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②项目调整及支出调整手续是否完备；</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③项目合同书、验收报告、技术鉴定等资料是否齐全并及时归档；</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④项目实施的人员条件、场地设备、信息支撑等是否落实到位。</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一项不符合扣0.5分，严重的此项完全不得分。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049" w:type="dxa"/>
            <w:vMerge w:val="continue"/>
            <w:vAlign w:val="center"/>
          </w:tcPr>
          <w:p>
            <w:pPr>
              <w:jc w:val="center"/>
              <w:rPr>
                <w:rFonts w:ascii="宋体" w:hAnsi="宋体" w:eastAsia="宋体" w:cs="宋体"/>
                <w:b/>
                <w:bCs/>
                <w:kern w:val="0"/>
                <w:sz w:val="18"/>
                <w:szCs w:val="18"/>
              </w:rPr>
            </w:pPr>
          </w:p>
        </w:tc>
        <w:tc>
          <w:tcPr>
            <w:tcW w:w="1166"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财务管理</w:t>
            </w:r>
          </w:p>
          <w:p>
            <w:pPr>
              <w:jc w:val="center"/>
              <w:rPr>
                <w:rFonts w:ascii="宋体" w:hAnsi="宋体" w:eastAsia="宋体" w:cs="宋体"/>
                <w:kern w:val="0"/>
                <w:sz w:val="18"/>
                <w:szCs w:val="18"/>
              </w:rPr>
            </w:pPr>
            <w:r>
              <w:rPr>
                <w:rFonts w:hint="eastAsia" w:ascii="宋体" w:hAnsi="宋体" w:eastAsia="宋体" w:cs="宋体"/>
                <w:kern w:val="0"/>
                <w:sz w:val="18"/>
                <w:szCs w:val="18"/>
              </w:rPr>
              <w:t>（5分）</w:t>
            </w:r>
          </w:p>
        </w:tc>
        <w:tc>
          <w:tcPr>
            <w:tcW w:w="1337"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财务监控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有效性</w:t>
            </w:r>
          </w:p>
          <w:p>
            <w:pPr>
              <w:jc w:val="center"/>
              <w:rPr>
                <w:rFonts w:ascii="宋体" w:hAnsi="宋体" w:eastAsia="宋体" w:cs="宋体"/>
                <w:kern w:val="0"/>
                <w:sz w:val="18"/>
                <w:szCs w:val="18"/>
              </w:rPr>
            </w:pPr>
            <w:r>
              <w:rPr>
                <w:rFonts w:hint="eastAsia" w:ascii="宋体" w:hAnsi="宋体" w:eastAsia="宋体" w:cs="宋体"/>
                <w:color w:val="000000"/>
                <w:kern w:val="0"/>
                <w:sz w:val="18"/>
                <w:szCs w:val="18"/>
              </w:rPr>
              <w:t>（2分）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①是否已制定或具有相应的监控机制；是计1分，否计0分；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②是否采取了相应的财务检查等必要的监控措施或手段。是计1分，否计0分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2</w:t>
            </w:r>
          </w:p>
          <w:p>
            <w:pPr>
              <w:ind w:firstLine="420" w:firstLineChars="200"/>
              <w:rPr>
                <w:rFonts w:ascii="宋体" w:hAnsi="宋体" w:eastAsia="宋体" w:cs="宋体"/>
                <w:kern w:val="0"/>
                <w:sz w:val="21"/>
                <w:szCs w:val="21"/>
              </w:rPr>
            </w:pP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p>
            <w:pPr>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049" w:type="dxa"/>
            <w:vMerge w:val="continue"/>
            <w:vAlign w:val="center"/>
          </w:tcPr>
          <w:p>
            <w:pPr>
              <w:jc w:val="center"/>
              <w:rPr>
                <w:rFonts w:ascii="宋体" w:hAnsi="宋体" w:eastAsia="宋体" w:cs="宋体"/>
                <w:b/>
                <w:bCs/>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绩效自评 </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合规性</w:t>
            </w:r>
          </w:p>
          <w:p>
            <w:pPr>
              <w:pStyle w:val="12"/>
              <w:ind w:firstLine="180" w:firstLineChars="100"/>
              <w:rPr>
                <w:rFonts w:ascii="Times New Roman" w:hAnsi="Times New Roman" w:eastAsia="宋体" w:cs="Times New Roman"/>
                <w:kern w:val="0"/>
              </w:rPr>
            </w:pPr>
            <w:r>
              <w:rPr>
                <w:rFonts w:hint="eastAsia" w:ascii="宋体" w:hAnsi="宋体" w:eastAsia="宋体" w:cs="宋体"/>
                <w:color w:val="000000"/>
                <w:kern w:val="0"/>
                <w:sz w:val="18"/>
                <w:szCs w:val="18"/>
              </w:rPr>
              <w:t>（3分）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①是否按要求开展绩效自评工作；</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②绩效自评报告是否报送及时；</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③绩效自评报告是否完整，数据是否全面、 真实、准确，绩效指标是否细化量化和科学合理，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④绩效自评反映的问题是否具体，意见是否可行</w:t>
            </w:r>
            <w:r>
              <w:rPr>
                <w:rFonts w:hint="eastAsia" w:ascii="宋体" w:hAnsi="宋体" w:eastAsia="宋体" w:cs="宋体"/>
                <w:kern w:val="0"/>
                <w:sz w:val="18"/>
                <w:szCs w:val="18"/>
                <w:lang w:eastAsia="zh-CN"/>
              </w:rPr>
              <w:t>。</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一项不符合扣0.5分，严重的此项完全不得分。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3</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49" w:type="dxa"/>
            <w:vMerge w:val="restart"/>
            <w:vAlign w:val="center"/>
          </w:tcPr>
          <w:p>
            <w:pPr>
              <w:widowControl/>
              <w:rPr>
                <w:rFonts w:hint="eastAsia" w:ascii="宋体" w:hAnsi="宋体" w:eastAsia="宋体" w:cs="宋体"/>
                <w:b/>
                <w:bCs/>
                <w:kern w:val="0"/>
                <w:sz w:val="18"/>
                <w:szCs w:val="18"/>
              </w:rPr>
            </w:pPr>
          </w:p>
          <w:p>
            <w:pPr>
              <w:widowControl/>
              <w:jc w:val="center"/>
              <w:rPr>
                <w:rFonts w:hint="eastAsia" w:ascii="宋体" w:hAnsi="宋体" w:eastAsia="宋体" w:cs="宋体"/>
                <w:b/>
                <w:bCs/>
                <w:kern w:val="0"/>
                <w:sz w:val="18"/>
                <w:szCs w:val="18"/>
              </w:rPr>
            </w:pPr>
          </w:p>
          <w:p>
            <w:pPr>
              <w:widowControl/>
              <w:jc w:val="center"/>
              <w:rPr>
                <w:rFonts w:hint="eastAsia" w:ascii="宋体" w:hAnsi="宋体" w:eastAsia="宋体" w:cs="宋体"/>
                <w:b/>
                <w:bCs/>
                <w:kern w:val="0"/>
                <w:sz w:val="18"/>
                <w:szCs w:val="18"/>
              </w:rPr>
            </w:pP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产出</w:t>
            </w:r>
          </w:p>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30</w:t>
            </w:r>
            <w:r>
              <w:rPr>
                <w:rFonts w:hint="eastAsia" w:ascii="宋体" w:hAnsi="宋体" w:eastAsia="宋体" w:cs="宋体"/>
                <w:b/>
                <w:bCs/>
                <w:kern w:val="0"/>
                <w:sz w:val="18"/>
                <w:szCs w:val="18"/>
              </w:rPr>
              <w:t>分）</w:t>
            </w:r>
          </w:p>
          <w:p>
            <w:pPr>
              <w:jc w:val="center"/>
              <w:rPr>
                <w:rFonts w:ascii="宋体" w:hAnsi="宋体" w:eastAsia="宋体" w:cs="宋体"/>
                <w:b/>
                <w:bCs/>
                <w:kern w:val="0"/>
                <w:sz w:val="18"/>
                <w:szCs w:val="18"/>
              </w:rPr>
            </w:pPr>
          </w:p>
        </w:tc>
        <w:tc>
          <w:tcPr>
            <w:tcW w:w="1166"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产出数量</w:t>
            </w:r>
          </w:p>
          <w:p>
            <w:pPr>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w:t>
            </w:r>
            <w:r>
              <w:rPr>
                <w:rFonts w:hint="eastAsia" w:ascii="宋体" w:hAnsi="宋体" w:eastAsia="宋体" w:cs="宋体"/>
                <w:kern w:val="0"/>
                <w:sz w:val="18"/>
                <w:szCs w:val="18"/>
                <w:lang w:val="en-US" w:eastAsia="zh-CN" w:bidi="ar"/>
              </w:rPr>
              <w:t>12</w:t>
            </w:r>
            <w:r>
              <w:rPr>
                <w:rFonts w:hint="eastAsia" w:ascii="宋体" w:hAnsi="宋体" w:eastAsia="宋体" w:cs="宋体"/>
                <w:kern w:val="0"/>
                <w:sz w:val="18"/>
                <w:szCs w:val="18"/>
                <w:lang w:bidi="ar"/>
              </w:rPr>
              <w:t>分）</w:t>
            </w:r>
          </w:p>
          <w:p>
            <w:pPr>
              <w:jc w:val="center"/>
              <w:rPr>
                <w:rFonts w:ascii="宋体" w:hAnsi="宋体" w:eastAsia="宋体" w:cs="宋体"/>
                <w:kern w:val="0"/>
                <w:sz w:val="18"/>
                <w:szCs w:val="18"/>
              </w:rPr>
            </w:pPr>
          </w:p>
        </w:tc>
        <w:tc>
          <w:tcPr>
            <w:tcW w:w="1337"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参保缴费</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补贴人数</w:t>
            </w:r>
          </w:p>
          <w:p>
            <w:pPr>
              <w:jc w:val="center"/>
              <w:rPr>
                <w:rFonts w:ascii="宋体" w:hAnsi="宋体" w:eastAsia="宋体" w:cs="宋体"/>
                <w:kern w:val="0"/>
                <w:sz w:val="18"/>
                <w:szCs w:val="18"/>
              </w:rPr>
            </w:pPr>
            <w:r>
              <w:rPr>
                <w:rFonts w:hint="eastAsia" w:ascii="宋体" w:hAnsi="宋体" w:eastAsia="宋体" w:cs="宋体"/>
                <w:kern w:val="0"/>
                <w:sz w:val="18"/>
                <w:szCs w:val="18"/>
              </w:rPr>
              <w:t>（4分）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60周岁以下参保缴费人数达到107900人次以上得满分，每少100人扣1分，扣完为止。</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continue"/>
            <w:vAlign w:val="center"/>
          </w:tcPr>
          <w:p>
            <w:pPr>
              <w:rPr>
                <w:rFonts w:ascii="宋体" w:hAnsi="宋体" w:eastAsia="宋体" w:cs="宋体"/>
                <w:kern w:val="0"/>
                <w:sz w:val="18"/>
                <w:szCs w:val="18"/>
              </w:rPr>
            </w:pPr>
          </w:p>
        </w:tc>
        <w:tc>
          <w:tcPr>
            <w:tcW w:w="1337"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养老金领取</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人数</w:t>
            </w:r>
          </w:p>
          <w:p>
            <w:pPr>
              <w:jc w:val="center"/>
              <w:rPr>
                <w:rFonts w:ascii="宋体" w:hAnsi="宋体" w:eastAsia="宋体" w:cs="宋体"/>
                <w:kern w:val="0"/>
                <w:sz w:val="18"/>
                <w:szCs w:val="18"/>
              </w:rPr>
            </w:pPr>
            <w:r>
              <w:rPr>
                <w:rFonts w:hint="eastAsia" w:ascii="宋体" w:hAnsi="宋体" w:eastAsia="宋体" w:cs="宋体"/>
                <w:kern w:val="0"/>
                <w:sz w:val="18"/>
                <w:szCs w:val="18"/>
              </w:rPr>
              <w:t>（4分）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60周岁以上养老金领取数量41450人以上得满分，每少100人扣1分，扣完为止。</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continue"/>
            <w:vAlign w:val="center"/>
          </w:tcPr>
          <w:p>
            <w:pP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个人缴费率</w:t>
            </w:r>
          </w:p>
          <w:p>
            <w:pPr>
              <w:widowControl/>
              <w:jc w:val="center"/>
              <w:rPr>
                <w:rFonts w:ascii="宋体" w:hAnsi="宋体" w:eastAsia="宋体" w:cs="宋体"/>
                <w:kern w:val="0"/>
                <w:sz w:val="18"/>
                <w:szCs w:val="18"/>
                <w:highlight w:val="yellow"/>
              </w:rPr>
            </w:pPr>
            <w:r>
              <w:rPr>
                <w:rFonts w:hint="eastAsia" w:ascii="宋体" w:hAnsi="宋体" w:eastAsia="宋体" w:cs="宋体"/>
                <w:kern w:val="0"/>
                <w:sz w:val="18"/>
                <w:szCs w:val="18"/>
                <w:highlight w:val="none"/>
              </w:rPr>
              <w:t>（4分）</w:t>
            </w:r>
          </w:p>
        </w:tc>
        <w:tc>
          <w:tcPr>
            <w:tcW w:w="2989" w:type="dxa"/>
            <w:vAlign w:val="center"/>
          </w:tcPr>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评价要点：</w:t>
            </w:r>
          </w:p>
          <w:p>
            <w:pPr>
              <w:widowControl/>
              <w:spacing w:line="0" w:lineRule="atLeast"/>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2022年度</w:t>
            </w:r>
            <w:r>
              <w:rPr>
                <w:rFonts w:hint="eastAsia" w:ascii="宋体" w:hAnsi="宋体" w:eastAsia="宋体" w:cs="宋体"/>
                <w:kern w:val="0"/>
                <w:sz w:val="18"/>
                <w:szCs w:val="18"/>
                <w:highlight w:val="none"/>
                <w:lang w:val="en-US" w:eastAsia="zh-CN"/>
              </w:rPr>
              <w:t>城乡居民基本养老保险全年已收取的个人缴费占应收取个人缴费的情况。缴费率达90%</w:t>
            </w:r>
            <w:r>
              <w:rPr>
                <w:rFonts w:hint="eastAsia" w:ascii="宋体" w:hAnsi="宋体" w:eastAsia="宋体" w:cs="宋体"/>
                <w:kern w:val="0"/>
                <w:sz w:val="18"/>
                <w:szCs w:val="18"/>
                <w:highlight w:val="none"/>
              </w:rPr>
              <w:t>以上得满分，每少</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人扣1分，扣完为止。</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highlight w:val="none"/>
              </w:rPr>
            </w:pPr>
          </w:p>
          <w:p>
            <w:pPr>
              <w:jc w:val="center"/>
              <w:rPr>
                <w:rFonts w:hint="eastAsia" w:ascii="宋体" w:hAnsi="宋体" w:eastAsia="宋体" w:cs="宋体"/>
                <w:kern w:val="0"/>
                <w:sz w:val="18"/>
                <w:szCs w:val="18"/>
                <w:highlight w:val="none"/>
              </w:rPr>
            </w:pPr>
          </w:p>
          <w:p>
            <w:pPr>
              <w:jc w:val="center"/>
              <w:rPr>
                <w:rFonts w:ascii="宋体" w:hAnsi="宋体" w:eastAsia="宋体" w:cs="宋体"/>
                <w:kern w:val="0"/>
                <w:sz w:val="21"/>
                <w:szCs w:val="21"/>
                <w:highlight w:val="none"/>
              </w:rPr>
            </w:pPr>
            <w:r>
              <w:rPr>
                <w:rFonts w:hint="eastAsia" w:ascii="宋体" w:hAnsi="宋体" w:eastAsia="宋体" w:cs="宋体"/>
                <w:kern w:val="0"/>
                <w:sz w:val="18"/>
                <w:szCs w:val="18"/>
                <w:highlight w:val="none"/>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产出质量</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（12分）</w:t>
            </w:r>
          </w:p>
          <w:p>
            <w:pPr>
              <w:jc w:val="cente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养老金发放</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合规性</w:t>
            </w:r>
          </w:p>
          <w:p>
            <w:pPr>
              <w:jc w:val="center"/>
              <w:rPr>
                <w:rFonts w:ascii="宋体" w:hAnsi="宋体" w:eastAsia="宋体" w:cs="宋体"/>
                <w:kern w:val="0"/>
                <w:sz w:val="18"/>
                <w:szCs w:val="18"/>
              </w:rPr>
            </w:pPr>
            <w:r>
              <w:rPr>
                <w:rFonts w:hint="eastAsia" w:ascii="宋体" w:hAnsi="宋体" w:eastAsia="宋体" w:cs="宋体"/>
                <w:kern w:val="0"/>
                <w:sz w:val="18"/>
                <w:szCs w:val="18"/>
              </w:rPr>
              <w:t>（4分）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rPr>
                <w:rFonts w:hint="eastAsia" w:ascii="宋体" w:hAnsi="宋体" w:eastAsia="宋体" w:cs="宋体"/>
                <w:kern w:val="0"/>
                <w:sz w:val="18"/>
                <w:szCs w:val="18"/>
              </w:rPr>
            </w:pPr>
            <w:r>
              <w:rPr>
                <w:rFonts w:hint="eastAsia" w:ascii="宋体" w:hAnsi="宋体" w:eastAsia="宋体" w:cs="宋体"/>
                <w:kern w:val="0"/>
                <w:sz w:val="18"/>
                <w:szCs w:val="18"/>
              </w:rPr>
              <w:t>①是否严格执行社会保险待遇核定、发放相关制度；</w:t>
            </w:r>
          </w:p>
          <w:p>
            <w:pPr>
              <w:rPr>
                <w:rFonts w:hint="eastAsia" w:ascii="宋体" w:hAnsi="宋体" w:eastAsia="宋体" w:cs="宋体"/>
                <w:kern w:val="0"/>
                <w:sz w:val="18"/>
                <w:szCs w:val="18"/>
              </w:rPr>
            </w:pPr>
            <w:r>
              <w:rPr>
                <w:rFonts w:hint="eastAsia" w:ascii="宋体" w:hAnsi="宋体" w:eastAsia="宋体" w:cs="宋体"/>
                <w:kern w:val="0"/>
                <w:sz w:val="18"/>
                <w:szCs w:val="18"/>
              </w:rPr>
              <w:t>②是否确保各项待遇及时发放；</w:t>
            </w:r>
          </w:p>
          <w:p>
            <w:pPr>
              <w:rPr>
                <w:rFonts w:hint="eastAsia" w:ascii="宋体" w:hAnsi="宋体" w:eastAsia="宋体" w:cs="宋体"/>
                <w:kern w:val="0"/>
                <w:sz w:val="18"/>
                <w:szCs w:val="18"/>
              </w:rPr>
            </w:pPr>
            <w:r>
              <w:rPr>
                <w:rFonts w:hint="eastAsia" w:ascii="宋体" w:hAnsi="宋体" w:eastAsia="宋体" w:cs="宋体"/>
                <w:kern w:val="0"/>
                <w:sz w:val="18"/>
                <w:szCs w:val="18"/>
              </w:rPr>
              <w:t>③是否实现100%应发尽发。</w:t>
            </w:r>
          </w:p>
          <w:p>
            <w:pPr>
              <w:rPr>
                <w:rFonts w:hint="eastAsia" w:ascii="宋体" w:hAnsi="宋体" w:eastAsia="宋体" w:cs="宋体"/>
                <w:kern w:val="0"/>
                <w:sz w:val="18"/>
                <w:szCs w:val="18"/>
              </w:rPr>
            </w:pPr>
            <w:r>
              <w:rPr>
                <w:rFonts w:hint="eastAsia" w:ascii="宋体" w:hAnsi="宋体" w:eastAsia="宋体" w:cs="宋体"/>
                <w:kern w:val="0"/>
                <w:sz w:val="18"/>
                <w:szCs w:val="18"/>
              </w:rPr>
              <w:t>④是否及时提醒临期人员进行认证、上门服务认证等工作。</w:t>
            </w:r>
          </w:p>
          <w:p>
            <w:pPr>
              <w:rPr>
                <w:rFonts w:ascii="宋体" w:hAnsi="宋体" w:eastAsia="宋体" w:cs="宋体"/>
                <w:kern w:val="0"/>
                <w:sz w:val="18"/>
                <w:szCs w:val="18"/>
              </w:rPr>
            </w:pPr>
            <w:r>
              <w:rPr>
                <w:rFonts w:hint="eastAsia" w:ascii="宋体" w:hAnsi="宋体" w:eastAsia="宋体" w:cs="宋体"/>
                <w:kern w:val="0"/>
                <w:sz w:val="18"/>
                <w:szCs w:val="18"/>
              </w:rPr>
              <w:t>一项不符合扣</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违规领取待遇</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追讨力度</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（4分）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①是否实现数据实时共享；</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②是否加强信息比对工作；</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③是否开展违规领取清理行动；</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④是否追回全部违规待遇金额，维护基金安全。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一项不符合扣1分，严重的此项完全不得分。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49" w:type="dxa"/>
            <w:vMerge w:val="continue"/>
            <w:vAlign w:val="center"/>
          </w:tcPr>
          <w:p>
            <w:pPr>
              <w:jc w:val="center"/>
              <w:rPr>
                <w:rFonts w:ascii="宋体" w:hAnsi="宋体" w:eastAsia="宋体" w:cs="宋体"/>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共享机制</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健全性</w:t>
            </w:r>
          </w:p>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rPr>
              <w:t>4分</w:t>
            </w:r>
            <w:r>
              <w:rPr>
                <w:rFonts w:hint="eastAsia" w:ascii="宋体" w:hAnsi="宋体" w:eastAsia="宋体" w:cs="宋体"/>
                <w:kern w:val="0"/>
                <w:sz w:val="18"/>
                <w:szCs w:val="18"/>
                <w:lang w:eastAsia="zh-CN"/>
              </w:rPr>
              <w:t>）</w:t>
            </w:r>
          </w:p>
        </w:tc>
        <w:tc>
          <w:tcPr>
            <w:tcW w:w="2989" w:type="dxa"/>
            <w:vAlign w:val="center"/>
          </w:tcPr>
          <w:p>
            <w:pPr>
              <w:widowControl/>
              <w:jc w:val="left"/>
              <w:rPr>
                <w:rFonts w:hint="eastAsia" w:ascii="宋体" w:hAnsi="宋体" w:eastAsia="宋体" w:cs="宋体"/>
                <w:kern w:val="0"/>
                <w:sz w:val="18"/>
                <w:szCs w:val="18"/>
                <w:lang w:bidi="zh-TW"/>
              </w:rPr>
            </w:pPr>
            <w:r>
              <w:rPr>
                <w:rFonts w:hint="eastAsia" w:ascii="宋体" w:hAnsi="宋体" w:eastAsia="宋体" w:cs="宋体"/>
                <w:kern w:val="0"/>
                <w:sz w:val="18"/>
                <w:szCs w:val="18"/>
              </w:rPr>
              <w:t>评价要点：</w:t>
            </w:r>
          </w:p>
          <w:p>
            <w:pPr>
              <w:widowControl/>
              <w:rPr>
                <w:rFonts w:hint="eastAsia" w:ascii="宋体" w:hAnsi="宋体" w:eastAsia="宋体" w:cs="宋体"/>
                <w:kern w:val="0"/>
                <w:sz w:val="18"/>
                <w:szCs w:val="18"/>
                <w:lang w:bidi="zh-TW"/>
              </w:rPr>
            </w:pPr>
            <w:r>
              <w:rPr>
                <w:rFonts w:hint="eastAsia" w:ascii="宋体" w:hAnsi="宋体" w:eastAsia="宋体" w:cs="宋体"/>
                <w:kern w:val="0"/>
                <w:sz w:val="18"/>
                <w:szCs w:val="18"/>
              </w:rPr>
              <w:t>①是否加强乡镇劳动保障工作平台建设</w:t>
            </w:r>
            <w:r>
              <w:rPr>
                <w:rFonts w:hint="eastAsia" w:ascii="宋体" w:hAnsi="宋体" w:eastAsia="宋体" w:cs="宋体"/>
                <w:kern w:val="0"/>
                <w:sz w:val="18"/>
                <w:szCs w:val="18"/>
                <w:lang w:bidi="zh-TW"/>
              </w:rPr>
              <w:t>；</w:t>
            </w:r>
          </w:p>
          <w:p>
            <w:pPr>
              <w:widowControl/>
              <w:rPr>
                <w:rFonts w:hint="eastAsia" w:ascii="宋体" w:hAnsi="宋体" w:eastAsia="宋体" w:cs="宋体"/>
                <w:kern w:val="0"/>
                <w:sz w:val="18"/>
                <w:szCs w:val="18"/>
                <w:lang w:bidi="zh-TW"/>
              </w:rPr>
            </w:pPr>
            <w:r>
              <w:rPr>
                <w:rFonts w:hint="eastAsia" w:ascii="宋体" w:hAnsi="宋体" w:eastAsia="宋体" w:cs="宋体"/>
                <w:kern w:val="0"/>
                <w:sz w:val="18"/>
                <w:szCs w:val="18"/>
              </w:rPr>
              <w:t>②是否推行全省统一的社会保障卡使用</w:t>
            </w:r>
            <w:r>
              <w:rPr>
                <w:rFonts w:hint="eastAsia" w:ascii="宋体" w:hAnsi="宋体" w:eastAsia="宋体" w:cs="宋体"/>
                <w:kern w:val="0"/>
                <w:sz w:val="18"/>
                <w:szCs w:val="18"/>
                <w:lang w:bidi="zh-TW"/>
              </w:rPr>
              <w:t>；</w:t>
            </w:r>
          </w:p>
          <w:p>
            <w:pPr>
              <w:widowControl/>
              <w:rPr>
                <w:rFonts w:hint="eastAsia" w:ascii="宋体" w:hAnsi="宋体" w:eastAsia="宋体" w:cs="宋体"/>
                <w:kern w:val="0"/>
                <w:sz w:val="18"/>
                <w:szCs w:val="18"/>
              </w:rPr>
            </w:pPr>
            <w:r>
              <w:rPr>
                <w:rFonts w:hint="eastAsia" w:ascii="宋体" w:hAnsi="宋体" w:eastAsia="宋体" w:cs="宋体"/>
                <w:kern w:val="0"/>
                <w:sz w:val="18"/>
                <w:szCs w:val="18"/>
              </w:rPr>
              <w:t>③是否完善城乡居民养老保险信息管理系统。</w:t>
            </w:r>
          </w:p>
          <w:p>
            <w:pPr>
              <w:pStyle w:val="12"/>
              <w:rPr>
                <w:rFonts w:hint="eastAsia" w:ascii="宋体" w:hAnsi="宋体" w:eastAsia="宋体" w:cs="宋体"/>
                <w:sz w:val="18"/>
                <w:szCs w:val="18"/>
              </w:rPr>
            </w:pPr>
            <w:r>
              <w:rPr>
                <w:rFonts w:hint="eastAsia" w:ascii="宋体" w:hAnsi="宋体" w:eastAsia="宋体" w:cs="宋体"/>
                <w:kern w:val="0"/>
                <w:sz w:val="18"/>
                <w:szCs w:val="18"/>
              </w:rPr>
              <w:t>④是否联动各</w:t>
            </w:r>
            <w:r>
              <w:rPr>
                <w:rFonts w:hint="eastAsia" w:ascii="宋体" w:hAnsi="宋体" w:eastAsia="宋体" w:cs="宋体"/>
                <w:sz w:val="18"/>
                <w:szCs w:val="18"/>
              </w:rPr>
              <w:t>有关部门密切配合，共同做好城乡居民养老保险的组织实施工作。</w:t>
            </w:r>
          </w:p>
          <w:p>
            <w:pPr>
              <w:widowControl/>
              <w:rPr>
                <w:rFonts w:ascii="宋体" w:hAnsi="宋体" w:eastAsia="宋体" w:cs="宋体"/>
                <w:kern w:val="0"/>
                <w:sz w:val="18"/>
                <w:szCs w:val="18"/>
                <w:lang w:val="zh-TW" w:bidi="zh-TW"/>
              </w:rPr>
            </w:pPr>
            <w:r>
              <w:rPr>
                <w:rFonts w:hint="eastAsia" w:ascii="宋体" w:hAnsi="宋体" w:eastAsia="宋体" w:cs="宋体"/>
                <w:kern w:val="0"/>
                <w:sz w:val="18"/>
                <w:szCs w:val="18"/>
              </w:rPr>
              <w:t>一项不符合扣1分，严重的此项完全不得分。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lang w:val="zh-TW"/>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49" w:type="dxa"/>
            <w:vMerge w:val="continue"/>
            <w:vAlign w:val="center"/>
          </w:tcPr>
          <w:p>
            <w:pPr>
              <w:jc w:val="center"/>
              <w:rPr>
                <w:rFonts w:ascii="宋体" w:hAnsi="宋体" w:eastAsia="宋体" w:cs="宋体"/>
                <w:kern w:val="0"/>
                <w:sz w:val="18"/>
                <w:szCs w:val="18"/>
              </w:rPr>
            </w:pPr>
          </w:p>
        </w:tc>
        <w:tc>
          <w:tcPr>
            <w:tcW w:w="1166" w:type="dxa"/>
            <w:vAlign w:val="center"/>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产出时效</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p>
            <w:pP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每月养老金</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按时发放率</w:t>
            </w:r>
          </w:p>
          <w:p>
            <w:pPr>
              <w:widowControl/>
              <w:jc w:val="center"/>
              <w:rPr>
                <w:rFonts w:ascii="宋体" w:hAnsi="宋体" w:eastAsia="宋体" w:cs="宋体"/>
                <w:color w:val="FF0000"/>
                <w:kern w:val="0"/>
                <w:sz w:val="18"/>
                <w:szCs w:val="18"/>
              </w:rPr>
            </w:pPr>
            <w:r>
              <w:rPr>
                <w:rFonts w:hint="eastAsia" w:ascii="宋体" w:hAnsi="宋体" w:eastAsia="宋体" w:cs="宋体"/>
                <w:kern w:val="0"/>
                <w:sz w:val="18"/>
                <w:szCs w:val="18"/>
              </w:rPr>
              <w:t>（3分）</w:t>
            </w:r>
          </w:p>
        </w:tc>
        <w:tc>
          <w:tcPr>
            <w:tcW w:w="2989"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rPr>
                <w:rFonts w:ascii="宋体" w:hAnsi="宋体" w:eastAsia="宋体" w:cs="宋体"/>
                <w:color w:val="FF0000"/>
                <w:kern w:val="0"/>
                <w:sz w:val="18"/>
                <w:szCs w:val="18"/>
              </w:rPr>
            </w:pPr>
            <w:r>
              <w:rPr>
                <w:rFonts w:hint="eastAsia" w:ascii="宋体" w:hAnsi="宋体" w:eastAsia="宋体" w:cs="宋体"/>
                <w:kern w:val="0"/>
                <w:sz w:val="18"/>
                <w:szCs w:val="18"/>
              </w:rPr>
              <w:t>每月养老金按时发放率达到100%</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满分，减少5个百分点扣1分。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3</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049" w:type="dxa"/>
            <w:vMerge w:val="continue"/>
            <w:vAlign w:val="center"/>
          </w:tcPr>
          <w:p>
            <w:pPr>
              <w:jc w:val="center"/>
              <w:rPr>
                <w:rFonts w:ascii="宋体" w:hAnsi="宋体" w:eastAsia="宋体" w:cs="宋体"/>
                <w:kern w:val="0"/>
                <w:sz w:val="18"/>
                <w:szCs w:val="18"/>
              </w:rPr>
            </w:pPr>
          </w:p>
        </w:tc>
        <w:tc>
          <w:tcPr>
            <w:tcW w:w="1166"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产出成本</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p>
            <w:pP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成本控制率</w:t>
            </w:r>
          </w:p>
          <w:p>
            <w:pPr>
              <w:jc w:val="center"/>
              <w:rPr>
                <w:rFonts w:ascii="宋体" w:hAnsi="宋体" w:eastAsia="宋体" w:cs="宋体"/>
                <w:kern w:val="0"/>
                <w:sz w:val="18"/>
                <w:szCs w:val="18"/>
              </w:rPr>
            </w:pPr>
            <w:r>
              <w:rPr>
                <w:rFonts w:hint="eastAsia" w:ascii="宋体" w:hAnsi="宋体" w:eastAsia="宋体" w:cs="宋体"/>
                <w:kern w:val="0"/>
                <w:sz w:val="18"/>
                <w:szCs w:val="18"/>
              </w:rPr>
              <w:t>（3分）</w:t>
            </w:r>
          </w:p>
        </w:tc>
        <w:tc>
          <w:tcPr>
            <w:tcW w:w="2989"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成本控制率≤100%得满分，每多于10%一项扣1分。</w:t>
            </w:r>
          </w:p>
        </w:tc>
        <w:tc>
          <w:tcPr>
            <w:tcW w:w="8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3</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049" w:type="dxa"/>
            <w:vMerge w:val="restart"/>
            <w:vAlign w:val="center"/>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效益</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（30分）</w:t>
            </w:r>
          </w:p>
          <w:p>
            <w:pPr>
              <w:rPr>
                <w:rFonts w:hint="eastAsia" w:ascii="宋体" w:hAnsi="宋体" w:eastAsia="宋体" w:cs="宋体"/>
                <w:kern w:val="0"/>
                <w:sz w:val="18"/>
                <w:szCs w:val="18"/>
              </w:rPr>
            </w:pPr>
          </w:p>
          <w:p>
            <w:pPr>
              <w:rPr>
                <w:rFonts w:hint="eastAsia" w:ascii="宋体" w:hAnsi="宋体" w:eastAsia="宋体" w:cs="宋体"/>
                <w:kern w:val="0"/>
                <w:sz w:val="18"/>
                <w:szCs w:val="18"/>
              </w:rPr>
            </w:pPr>
          </w:p>
          <w:p>
            <w:pPr>
              <w:rPr>
                <w:rFonts w:hint="eastAsia" w:ascii="宋体" w:hAnsi="宋体" w:eastAsia="宋体" w:cs="宋体"/>
                <w:kern w:val="0"/>
                <w:sz w:val="18"/>
                <w:szCs w:val="18"/>
              </w:rPr>
            </w:pPr>
          </w:p>
          <w:p>
            <w:pPr>
              <w:rPr>
                <w:rFonts w:hint="eastAsia" w:ascii="宋体" w:hAnsi="宋体" w:eastAsia="宋体" w:cs="宋体"/>
                <w:kern w:val="0"/>
                <w:sz w:val="18"/>
                <w:szCs w:val="18"/>
              </w:rPr>
            </w:pPr>
          </w:p>
          <w:p>
            <w:pPr>
              <w:rPr>
                <w:rFonts w:ascii="宋体" w:hAnsi="宋体" w:eastAsia="宋体" w:cs="宋体"/>
                <w:kern w:val="0"/>
                <w:sz w:val="18"/>
                <w:szCs w:val="18"/>
              </w:rPr>
            </w:pPr>
          </w:p>
        </w:tc>
        <w:tc>
          <w:tcPr>
            <w:tcW w:w="1166" w:type="dxa"/>
            <w:vMerge w:val="restart"/>
            <w:vAlign w:val="center"/>
          </w:tcPr>
          <w:p>
            <w:pPr>
              <w:widowControl/>
              <w:jc w:val="center"/>
              <w:rPr>
                <w:rFonts w:hint="eastAsia" w:ascii="宋体" w:hAnsi="宋体" w:eastAsia="宋体" w:cs="宋体"/>
                <w:kern w:val="0"/>
                <w:sz w:val="18"/>
                <w:szCs w:val="18"/>
              </w:rPr>
            </w:pPr>
          </w:p>
          <w:p>
            <w:pPr>
              <w:widowControl/>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社会效益</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w:t>
            </w:r>
            <w:r>
              <w:rPr>
                <w:rFonts w:hint="eastAsia" w:ascii="宋体" w:hAnsi="宋体" w:eastAsia="宋体" w:cs="宋体"/>
                <w:kern w:val="0"/>
                <w:sz w:val="18"/>
                <w:szCs w:val="18"/>
                <w:lang w:val="en-US" w:eastAsia="zh-CN" w:bidi="ar"/>
              </w:rPr>
              <w:t>8</w:t>
            </w:r>
            <w:r>
              <w:rPr>
                <w:rFonts w:hint="eastAsia" w:ascii="宋体" w:hAnsi="宋体" w:eastAsia="宋体" w:cs="宋体"/>
                <w:kern w:val="0"/>
                <w:sz w:val="18"/>
                <w:szCs w:val="18"/>
                <w:lang w:bidi="ar"/>
              </w:rPr>
              <w:t>分）</w:t>
            </w:r>
          </w:p>
          <w:p>
            <w:pPr>
              <w:rPr>
                <w:rFonts w:hint="eastAsia" w:ascii="宋体" w:hAnsi="宋体" w:eastAsia="宋体" w:cs="宋体"/>
                <w:kern w:val="0"/>
                <w:sz w:val="18"/>
                <w:szCs w:val="18"/>
              </w:rPr>
            </w:pPr>
          </w:p>
          <w:p>
            <w:pPr>
              <w:widowControl/>
              <w:jc w:val="center"/>
              <w:rPr>
                <w:rFonts w:hint="eastAsia" w:ascii="宋体" w:hAnsi="宋体" w:eastAsia="宋体" w:cs="宋体"/>
                <w:kern w:val="0"/>
                <w:sz w:val="18"/>
                <w:szCs w:val="18"/>
              </w:rPr>
            </w:pPr>
          </w:p>
          <w:p>
            <w:pPr>
              <w:jc w:val="center"/>
              <w:rPr>
                <w:rFonts w:ascii="宋体" w:hAnsi="宋体" w:eastAsia="宋体" w:cs="宋体"/>
                <w:kern w:val="0"/>
                <w:sz w:val="18"/>
                <w:szCs w:val="18"/>
              </w:rPr>
            </w:pPr>
          </w:p>
        </w:tc>
        <w:tc>
          <w:tcPr>
            <w:tcW w:w="1337"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经办队伍</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稳定性</w:t>
            </w:r>
          </w:p>
          <w:p>
            <w:pPr>
              <w:jc w:val="center"/>
              <w:rPr>
                <w:rFonts w:ascii="宋体" w:hAnsi="宋体" w:eastAsia="宋体" w:cs="宋体"/>
                <w:kern w:val="0"/>
                <w:sz w:val="18"/>
                <w:szCs w:val="18"/>
              </w:rPr>
            </w:pPr>
            <w:r>
              <w:rPr>
                <w:rFonts w:hint="eastAsia" w:ascii="宋体" w:hAnsi="宋体" w:eastAsia="宋体" w:cs="宋体"/>
                <w:kern w:val="0"/>
                <w:sz w:val="18"/>
                <w:szCs w:val="18"/>
              </w:rPr>
              <w:t>（4分）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是否明确城乡居民养老保险工作职责，城乡居民保中心配备专人负责</w:t>
            </w:r>
            <w:r>
              <w:rPr>
                <w:rFonts w:hint="eastAsia" w:ascii="宋体" w:hAnsi="宋体" w:eastAsia="宋体" w:cs="宋体"/>
                <w:kern w:val="0"/>
                <w:sz w:val="18"/>
                <w:szCs w:val="18"/>
                <w:lang w:eastAsia="zh-CN"/>
              </w:rPr>
              <w:t>；</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是否加强乡镇劳动保障工作平台建设，配备专人负责。</w:t>
            </w:r>
          </w:p>
          <w:p>
            <w:pPr>
              <w:pStyle w:val="12"/>
              <w:rPr>
                <w:rFonts w:ascii="宋体" w:hAnsi="宋体" w:eastAsia="宋体" w:cs="宋体"/>
                <w:kern w:val="0"/>
              </w:rPr>
            </w:pPr>
            <w:r>
              <w:rPr>
                <w:rFonts w:hint="eastAsia" w:ascii="宋体" w:hAnsi="宋体" w:eastAsia="宋体" w:cs="宋体"/>
                <w:kern w:val="0"/>
                <w:sz w:val="18"/>
                <w:szCs w:val="18"/>
              </w:rPr>
              <w:t>一项不符合扣2分，严重的此项完全不得分。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49" w:type="dxa"/>
            <w:vMerge w:val="continue"/>
            <w:vAlign w:val="top"/>
          </w:tcPr>
          <w:p>
            <w:pPr>
              <w:rPr>
                <w:rFonts w:ascii="宋体" w:hAnsi="宋体" w:eastAsia="宋体" w:cs="宋体"/>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政策宣传</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（4分）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①是否深入基层开展城乡居民养老保险政策宣讲活动；</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②是否全面对政策进行全面宣讲与解读；</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③是否引导城乡居民踊跃参保、持续缴费，保障参保人的合法权益</w:t>
            </w:r>
            <w:r>
              <w:rPr>
                <w:rFonts w:hint="eastAsia" w:ascii="宋体" w:hAnsi="宋体" w:eastAsia="宋体" w:cs="宋体"/>
                <w:kern w:val="0"/>
                <w:sz w:val="18"/>
                <w:szCs w:val="18"/>
                <w:lang w:eastAsia="zh-CN"/>
              </w:rPr>
              <w:t>；</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④宣讲内容是否注重运用通俗易懂的语言和群众易于接受的方式。</w:t>
            </w:r>
          </w:p>
          <w:p>
            <w:pPr>
              <w:pStyle w:val="12"/>
              <w:rPr>
                <w:rFonts w:ascii="Times New Roman" w:hAnsi="Times New Roman" w:eastAsia="宋体" w:cs="Times New Roman"/>
              </w:rPr>
            </w:pPr>
            <w:r>
              <w:rPr>
                <w:rFonts w:hint="eastAsia" w:ascii="宋体" w:hAnsi="宋体" w:eastAsia="宋体" w:cs="宋体"/>
                <w:kern w:val="0"/>
                <w:sz w:val="18"/>
                <w:szCs w:val="18"/>
              </w:rPr>
              <w:t>一项不符合扣1分，严重的此项完全不得分。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49" w:type="dxa"/>
            <w:vMerge w:val="continue"/>
            <w:vAlign w:val="top"/>
          </w:tcPr>
          <w:p>
            <w:pPr>
              <w:rPr>
                <w:rFonts w:ascii="宋体" w:hAnsi="宋体" w:eastAsia="宋体" w:cs="宋体"/>
                <w:kern w:val="0"/>
                <w:sz w:val="18"/>
                <w:szCs w:val="18"/>
              </w:rPr>
            </w:pPr>
          </w:p>
        </w:tc>
        <w:tc>
          <w:tcPr>
            <w:tcW w:w="1166" w:type="dxa"/>
            <w:vMerge w:val="restart"/>
            <w:vAlign w:val="center"/>
          </w:tcPr>
          <w:p>
            <w:pPr>
              <w:widowControl/>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经济效益</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（8分）</w:t>
            </w:r>
          </w:p>
          <w:p>
            <w:pPr>
              <w:jc w:val="cente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人均基础养老金提高</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（4分）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县政府是否根据经济发展和物价指数变动等情况，适时调整提高城乡居民养老保险基础养老金月发放标准。效果显著得4分，效果较好得3分，效果一般得1</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2分，效果差不得分。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049" w:type="dxa"/>
            <w:vMerge w:val="continue"/>
            <w:vAlign w:val="top"/>
          </w:tcPr>
          <w:p>
            <w:pPr>
              <w:rPr>
                <w:rFonts w:ascii="宋体" w:hAnsi="宋体" w:eastAsia="宋体" w:cs="宋体"/>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特殊参保对象</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受益度</w:t>
            </w:r>
          </w:p>
          <w:p>
            <w:pPr>
              <w:pStyle w:val="12"/>
              <w:jc w:val="center"/>
              <w:rPr>
                <w:rFonts w:ascii="Times New Roman" w:hAnsi="Times New Roman" w:eastAsia="宋体" w:cs="Times New Roman"/>
              </w:rPr>
            </w:pPr>
            <w:r>
              <w:rPr>
                <w:rFonts w:hint="eastAsia" w:ascii="宋体" w:hAnsi="宋体" w:eastAsia="宋体" w:cs="宋体"/>
                <w:kern w:val="0"/>
                <w:sz w:val="18"/>
                <w:szCs w:val="18"/>
              </w:rPr>
              <w:t>（4分）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特殊参保对象受益度效果显著得4分，效果较好得3分，效果一般得1</w:t>
            </w:r>
            <w:r>
              <w:rPr>
                <w:rFonts w:hint="eastAsia" w:ascii="宋体" w:hAnsi="宋体" w:eastAsia="宋体" w:cs="宋体"/>
                <w:kern w:val="0"/>
                <w:sz w:val="18"/>
                <w:szCs w:val="18"/>
                <w:lang w:eastAsia="zh-CN"/>
              </w:rPr>
              <w:t>—</w:t>
            </w:r>
            <w:bookmarkStart w:id="193" w:name="_GoBack"/>
            <w:bookmarkEnd w:id="193"/>
            <w:r>
              <w:rPr>
                <w:rFonts w:hint="eastAsia" w:ascii="宋体" w:hAnsi="宋体" w:eastAsia="宋体" w:cs="宋体"/>
                <w:kern w:val="0"/>
                <w:sz w:val="18"/>
                <w:szCs w:val="18"/>
              </w:rPr>
              <w:t>2分，效果差不得分。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49" w:type="dxa"/>
            <w:vMerge w:val="continue"/>
            <w:vAlign w:val="top"/>
          </w:tcPr>
          <w:p>
            <w:pPr>
              <w:rPr>
                <w:rFonts w:ascii="宋体" w:hAnsi="宋体" w:eastAsia="宋体" w:cs="宋体"/>
                <w:kern w:val="0"/>
                <w:sz w:val="18"/>
                <w:szCs w:val="18"/>
              </w:rPr>
            </w:pPr>
          </w:p>
        </w:tc>
        <w:tc>
          <w:tcPr>
            <w:tcW w:w="1166" w:type="dxa"/>
            <w:vMerge w:val="restart"/>
            <w:vAlign w:val="center"/>
          </w:tcPr>
          <w:p>
            <w:pPr>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可持续</w:t>
            </w:r>
          </w:p>
          <w:p>
            <w:pPr>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影响</w:t>
            </w:r>
          </w:p>
          <w:p>
            <w:pPr>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w:t>
            </w:r>
            <w:r>
              <w:rPr>
                <w:rFonts w:hint="eastAsia" w:ascii="宋体" w:hAnsi="宋体" w:eastAsia="宋体" w:cs="宋体"/>
                <w:kern w:val="0"/>
                <w:sz w:val="18"/>
                <w:szCs w:val="18"/>
                <w:lang w:val="en-US" w:eastAsia="zh-CN" w:bidi="ar"/>
              </w:rPr>
              <w:t>8</w:t>
            </w:r>
            <w:r>
              <w:rPr>
                <w:rFonts w:hint="eastAsia" w:ascii="宋体" w:hAnsi="宋体" w:eastAsia="宋体" w:cs="宋体"/>
                <w:kern w:val="0"/>
                <w:sz w:val="18"/>
                <w:szCs w:val="18"/>
                <w:lang w:bidi="ar"/>
              </w:rPr>
              <w:t>分）</w:t>
            </w:r>
          </w:p>
          <w:p>
            <w:pPr>
              <w:jc w:val="cente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个人账户储存额连续性</w:t>
            </w:r>
          </w:p>
          <w:p>
            <w:pPr>
              <w:pStyle w:val="12"/>
              <w:jc w:val="center"/>
              <w:rPr>
                <w:rFonts w:ascii="Times New Roman" w:hAnsi="Times New Roman" w:eastAsia="宋体" w:cs="Times New Roman"/>
              </w:rPr>
            </w:pPr>
            <w:r>
              <w:rPr>
                <w:rFonts w:hint="eastAsia" w:ascii="宋体" w:hAnsi="宋体" w:eastAsia="宋体" w:cs="宋体"/>
                <w:kern w:val="0"/>
                <w:sz w:val="18"/>
                <w:szCs w:val="18"/>
              </w:rPr>
              <w:t>（4分）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①是否为城乡居民养老保险经办机构为每位参保人员建立终身记录的养老保险个人账户；</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②是否按照《德化县人民政府关于完善德化县城乡居民基本养老保险的实施意见》（德政〔2014〕367号）的要求进行执行。</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一项不符合扣2分，严重的此项完全不得分。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49" w:type="dxa"/>
            <w:vMerge w:val="continue"/>
            <w:vAlign w:val="top"/>
          </w:tcPr>
          <w:p>
            <w:pPr>
              <w:rPr>
                <w:rFonts w:ascii="宋体" w:hAnsi="宋体" w:eastAsia="宋体" w:cs="宋体"/>
                <w:kern w:val="0"/>
                <w:sz w:val="18"/>
                <w:szCs w:val="18"/>
              </w:rPr>
            </w:pPr>
          </w:p>
        </w:tc>
        <w:tc>
          <w:tcPr>
            <w:tcW w:w="1166" w:type="dxa"/>
            <w:vMerge w:val="continue"/>
            <w:vAlign w:val="center"/>
          </w:tcPr>
          <w:p>
            <w:pPr>
              <w:jc w:val="cente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参保率持续</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水平增长</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（4分）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用于评价项目资金绩效的后续影响，参保率大于等于0%得4分，低于0%不得分。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ascii="宋体" w:hAnsi="宋体" w:eastAsia="宋体" w:cs="宋体"/>
                <w:kern w:val="0"/>
                <w:sz w:val="21"/>
                <w:szCs w:val="21"/>
              </w:rPr>
            </w:pPr>
            <w:r>
              <w:rPr>
                <w:rFonts w:hint="eastAsia" w:ascii="宋体" w:hAnsi="宋体" w:eastAsia="宋体" w:cs="宋体"/>
                <w:kern w:val="0"/>
                <w:sz w:val="18"/>
                <w:szCs w:val="18"/>
              </w:rPr>
              <w:t>4</w:t>
            </w:r>
          </w:p>
        </w:tc>
        <w:tc>
          <w:tcPr>
            <w:tcW w:w="561" w:type="pct"/>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49" w:type="dxa"/>
            <w:vMerge w:val="continue"/>
            <w:vAlign w:val="top"/>
          </w:tcPr>
          <w:p>
            <w:pPr>
              <w:rPr>
                <w:rFonts w:ascii="宋体" w:hAnsi="宋体" w:eastAsia="宋体" w:cs="宋体"/>
                <w:kern w:val="0"/>
                <w:sz w:val="18"/>
                <w:szCs w:val="18"/>
              </w:rPr>
            </w:pPr>
          </w:p>
        </w:tc>
        <w:tc>
          <w:tcPr>
            <w:tcW w:w="1166"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满意度</w:t>
            </w:r>
          </w:p>
          <w:p>
            <w:pPr>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（6分）</w:t>
            </w:r>
          </w:p>
          <w:p>
            <w:pPr>
              <w:jc w:val="center"/>
              <w:rPr>
                <w:rFonts w:ascii="宋体" w:hAnsi="宋体" w:eastAsia="宋体" w:cs="宋体"/>
                <w:kern w:val="0"/>
                <w:sz w:val="18"/>
                <w:szCs w:val="18"/>
              </w:rPr>
            </w:pPr>
          </w:p>
        </w:tc>
        <w:tc>
          <w:tcPr>
            <w:tcW w:w="1337"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社会公众</w:t>
            </w:r>
          </w:p>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满意度</w:t>
            </w:r>
          </w:p>
          <w:p>
            <w:pPr>
              <w:pStyle w:val="12"/>
              <w:ind w:firstLine="360" w:firstLineChars="200"/>
              <w:rPr>
                <w:rFonts w:ascii="宋体" w:hAnsi="宋体" w:eastAsia="宋体" w:cs="宋体"/>
                <w:kern w:val="0"/>
                <w:sz w:val="18"/>
                <w:szCs w:val="18"/>
              </w:rPr>
            </w:pPr>
            <w:r>
              <w:rPr>
                <w:rFonts w:hint="eastAsia" w:ascii="宋体" w:hAnsi="宋体" w:eastAsia="宋体" w:cs="宋体"/>
                <w:kern w:val="0"/>
                <w:sz w:val="18"/>
                <w:szCs w:val="18"/>
                <w:lang w:val="en-US" w:eastAsia="zh-CN"/>
              </w:rPr>
              <w:t>（6分）</w:t>
            </w:r>
          </w:p>
        </w:tc>
        <w:tc>
          <w:tcPr>
            <w:tcW w:w="2989"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采取社会调查的方式对社会公众服务对象对履职效果的满意程度。</w:t>
            </w:r>
          </w:p>
          <w:p>
            <w:pPr>
              <w:widowControl/>
              <w:jc w:val="left"/>
              <w:rPr>
                <w:rFonts w:hint="eastAsia" w:ascii="宋体" w:hAnsi="宋体" w:eastAsia="宋体" w:cs="宋体"/>
                <w:kern w:val="0"/>
                <w:sz w:val="18"/>
                <w:szCs w:val="18"/>
              </w:rPr>
            </w:pPr>
            <w:r>
              <w:rPr>
                <w:rFonts w:hint="eastAsia" w:ascii="宋体" w:hAnsi="宋体" w:eastAsia="宋体" w:cs="宋体"/>
                <w:sz w:val="18"/>
                <w:szCs w:val="18"/>
                <w:lang w:eastAsia="zh-CN"/>
              </w:rPr>
              <w:t>满</w:t>
            </w:r>
            <w:r>
              <w:rPr>
                <w:rFonts w:hint="eastAsia" w:ascii="宋体" w:hAnsi="宋体" w:eastAsia="宋体" w:cs="宋体"/>
                <w:sz w:val="18"/>
                <w:szCs w:val="18"/>
              </w:rPr>
              <w:t>意度达95%</w:t>
            </w:r>
            <w:r>
              <w:rPr>
                <w:rFonts w:hint="eastAsia" w:ascii="宋体" w:hAnsi="宋体" w:eastAsia="宋体" w:cs="宋体"/>
                <w:sz w:val="18"/>
                <w:szCs w:val="18"/>
                <w:lang w:eastAsia="zh-CN"/>
              </w:rPr>
              <w:t>的</w:t>
            </w:r>
            <w:r>
              <w:rPr>
                <w:rFonts w:hint="eastAsia" w:ascii="宋体" w:hAnsi="宋体" w:eastAsia="宋体" w:cs="宋体"/>
                <w:sz w:val="18"/>
                <w:szCs w:val="18"/>
              </w:rPr>
              <w:t>满分，减少5个百分点扣1分，直至扣完该项得分。</w:t>
            </w:r>
          </w:p>
        </w:tc>
        <w:tc>
          <w:tcPr>
            <w:tcW w:w="89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kern w:val="0"/>
                <w:sz w:val="18"/>
                <w:szCs w:val="18"/>
              </w:rPr>
            </w:pPr>
          </w:p>
          <w:p>
            <w:pPr>
              <w:pStyle w:val="12"/>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w:t>
            </w:r>
          </w:p>
          <w:p>
            <w:pPr>
              <w:pStyle w:val="12"/>
              <w:ind w:firstLine="180" w:firstLineChars="100"/>
              <w:rPr>
                <w:rFonts w:hint="eastAsia"/>
                <w:sz w:val="21"/>
                <w:szCs w:val="21"/>
              </w:rPr>
            </w:pPr>
            <w:r>
              <w:rPr>
                <w:rFonts w:hint="eastAsia" w:ascii="宋体" w:hAnsi="宋体" w:eastAsia="宋体" w:cs="宋体"/>
                <w:kern w:val="0"/>
                <w:sz w:val="18"/>
                <w:szCs w:val="18"/>
                <w:lang w:val="en-US" w:eastAsia="zh-CN"/>
              </w:rPr>
              <w:t xml:space="preserve"> 6</w:t>
            </w:r>
          </w:p>
        </w:tc>
        <w:tc>
          <w:tcPr>
            <w:tcW w:w="561" w:type="pct"/>
            <w:vAlign w:val="top"/>
          </w:tcPr>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p>
          <w:p>
            <w:pPr>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438" w:type="pct"/>
            <w:gridSpan w:val="5"/>
            <w:tcBorders>
              <w:right w:val="single" w:color="auto" w:sz="4" w:space="0"/>
            </w:tcBorders>
          </w:tcPr>
          <w:p>
            <w:pPr>
              <w:widowControl/>
              <w:jc w:val="center"/>
              <w:rPr>
                <w:rFonts w:ascii="Times New Roman" w:hAnsi="Times New Roman" w:eastAsia="宋体" w:cs="Times New Roman"/>
                <w:b w:val="0"/>
                <w:bCs w:val="0"/>
                <w:kern w:val="0"/>
                <w:sz w:val="21"/>
                <w:szCs w:val="21"/>
              </w:rPr>
            </w:pPr>
          </w:p>
          <w:p>
            <w:pPr>
              <w:widowControl/>
              <w:ind w:firstLine="210" w:firstLineChars="100"/>
              <w:jc w:val="center"/>
              <w:rPr>
                <w:rFonts w:hint="eastAsia" w:ascii="宋体" w:hAnsi="宋体" w:eastAsia="宋体" w:cs="宋体"/>
                <w:b w:val="0"/>
                <w:bCs w:val="0"/>
                <w:kern w:val="0"/>
                <w:sz w:val="21"/>
                <w:szCs w:val="21"/>
                <w:lang w:eastAsia="zh-CN"/>
              </w:rPr>
            </w:pPr>
            <w:r>
              <w:rPr>
                <w:rFonts w:hint="eastAsia" w:ascii="Times New Roman" w:hAnsi="Times New Roman" w:eastAsia="宋体" w:cs="Times New Roman"/>
                <w:b w:val="0"/>
                <w:bCs w:val="0"/>
                <w:kern w:val="0"/>
                <w:sz w:val="21"/>
                <w:szCs w:val="21"/>
                <w:lang w:val="en-US" w:eastAsia="zh-CN"/>
              </w:rPr>
              <w:t>得 分</w:t>
            </w:r>
          </w:p>
        </w:tc>
        <w:tc>
          <w:tcPr>
            <w:tcW w:w="561" w:type="pct"/>
            <w:vAlign w:val="center"/>
          </w:tcPr>
          <w:p>
            <w:pPr>
              <w:widowControl/>
              <w:jc w:val="center"/>
              <w:rPr>
                <w:rFonts w:hint="eastAsia" w:ascii="宋体" w:hAnsi="宋体" w:eastAsia="宋体" w:cs="宋体"/>
                <w:b w:val="0"/>
                <w:bCs w:val="0"/>
                <w:kern w:val="0"/>
                <w:sz w:val="21"/>
                <w:szCs w:val="21"/>
              </w:rPr>
            </w:pPr>
          </w:p>
          <w:p>
            <w:pPr>
              <w:widowControl/>
              <w:jc w:val="center"/>
              <w:rPr>
                <w:rFonts w:ascii="宋体" w:hAnsi="宋体" w:eastAsia="宋体" w:cs="宋体"/>
                <w:b w:val="0"/>
                <w:bCs w:val="0"/>
                <w:kern w:val="0"/>
                <w:sz w:val="21"/>
                <w:szCs w:val="21"/>
              </w:rPr>
            </w:pPr>
            <w:r>
              <w:rPr>
                <w:rFonts w:hint="eastAsia" w:ascii="宋体" w:hAnsi="宋体" w:eastAsia="宋体" w:cs="宋体"/>
                <w:b w:val="0"/>
                <w:bCs w:val="0"/>
                <w:kern w:val="0"/>
                <w:sz w:val="21"/>
                <w:szCs w:val="21"/>
              </w:rPr>
              <w:t>91</w:t>
            </w:r>
          </w:p>
        </w:tc>
      </w:tr>
    </w:tbl>
    <w:p>
      <w:pPr>
        <w:pStyle w:val="12"/>
      </w:pPr>
    </w:p>
    <w:p>
      <w:pPr>
        <w:pStyle w:val="12"/>
        <w:spacing w:line="360" w:lineRule="auto"/>
        <w:rPr>
          <w:rFonts w:ascii="Times New Roman" w:eastAsia="宋体"/>
          <w:sz w:val="28"/>
        </w:rPr>
      </w:pPr>
    </w:p>
    <w:p>
      <w:pPr>
        <w:pStyle w:val="30"/>
        <w:spacing w:line="360" w:lineRule="auto"/>
        <w:ind w:left="0" w:firstLine="560" w:firstLineChars="200"/>
        <w:rPr>
          <w:rFonts w:ascii="Times New Roman"/>
          <w:sz w:val="28"/>
        </w:rPr>
      </w:pPr>
    </w:p>
    <w:p>
      <w:pPr>
        <w:pStyle w:val="2"/>
        <w:rPr>
          <w:rFonts w:hint="eastAsia"/>
          <w:sz w:val="28"/>
          <w:szCs w:val="28"/>
          <w:lang w:eastAsia="zh-CN"/>
        </w:rPr>
      </w:pPr>
    </w:p>
    <w:p>
      <w:pPr>
        <w:pStyle w:val="2"/>
        <w:rPr>
          <w:rFonts w:hint="eastAsia"/>
          <w:sz w:val="28"/>
          <w:szCs w:val="28"/>
          <w:lang w:eastAsia="zh-CN"/>
        </w:rPr>
      </w:pPr>
    </w:p>
    <w:p>
      <w:pPr>
        <w:pStyle w:val="2"/>
        <w:rPr>
          <w:rFonts w:hint="eastAsia"/>
          <w:sz w:val="28"/>
          <w:szCs w:val="28"/>
          <w:lang w:eastAsia="zh-CN"/>
        </w:rPr>
      </w:pPr>
    </w:p>
    <w:p>
      <w:pPr>
        <w:pStyle w:val="2"/>
        <w:rPr>
          <w:rFonts w:hint="eastAsia"/>
          <w:sz w:val="28"/>
          <w:szCs w:val="28"/>
          <w:lang w:eastAsia="zh-CN"/>
        </w:rPr>
      </w:pPr>
    </w:p>
    <w:p>
      <w:pPr>
        <w:pStyle w:val="12"/>
        <w:rPr>
          <w:rFonts w:hint="eastAsia"/>
          <w:lang w:eastAsia="zh-CN"/>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366"/>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366"/>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28C69"/>
    <w:multiLevelType w:val="singleLevel"/>
    <w:tmpl w:val="B5F28C69"/>
    <w:lvl w:ilvl="0" w:tentative="0">
      <w:start w:val="1"/>
      <w:numFmt w:val="chineseCounting"/>
      <w:suff w:val="nothing"/>
      <w:lvlText w:val="（%1）"/>
      <w:lvlJc w:val="left"/>
      <w:rPr>
        <w:rFonts w:hint="eastAsia"/>
      </w:rPr>
    </w:lvl>
  </w:abstractNum>
  <w:abstractNum w:abstractNumId="1">
    <w:nsid w:val="3F51E42B"/>
    <w:multiLevelType w:val="singleLevel"/>
    <w:tmpl w:val="3F51E42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YTE5ODdmYjI3NzA2NzYyYjIxY2E4ZWVjZjBhYWUifQ=="/>
  </w:docVars>
  <w:rsids>
    <w:rsidRoot w:val="00EC5053"/>
    <w:rsid w:val="00180176"/>
    <w:rsid w:val="00522EE6"/>
    <w:rsid w:val="009639C8"/>
    <w:rsid w:val="009B34DC"/>
    <w:rsid w:val="00A01B8C"/>
    <w:rsid w:val="00AB4C5E"/>
    <w:rsid w:val="00EC5053"/>
    <w:rsid w:val="010F3B4F"/>
    <w:rsid w:val="01E8166D"/>
    <w:rsid w:val="09736C84"/>
    <w:rsid w:val="1C400FE5"/>
    <w:rsid w:val="245E2895"/>
    <w:rsid w:val="2A297180"/>
    <w:rsid w:val="2AD700EC"/>
    <w:rsid w:val="2E573020"/>
    <w:rsid w:val="33C3200B"/>
    <w:rsid w:val="43A53B91"/>
    <w:rsid w:val="43BF6F9C"/>
    <w:rsid w:val="45BC11EA"/>
    <w:rsid w:val="46A12C23"/>
    <w:rsid w:val="471C5E9B"/>
    <w:rsid w:val="47FB659F"/>
    <w:rsid w:val="49E1353F"/>
    <w:rsid w:val="4C74015D"/>
    <w:rsid w:val="4EE94A7F"/>
    <w:rsid w:val="55411236"/>
    <w:rsid w:val="555E38D2"/>
    <w:rsid w:val="579B2BF9"/>
    <w:rsid w:val="57A80D4F"/>
    <w:rsid w:val="5B4C6E13"/>
    <w:rsid w:val="631D6B7A"/>
    <w:rsid w:val="754443CD"/>
    <w:rsid w:val="79FE078F"/>
    <w:rsid w:val="7AFD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paragraph" w:styleId="6">
    <w:name w:val="index 5"/>
    <w:basedOn w:val="1"/>
    <w:next w:val="1"/>
    <w:qFormat/>
    <w:uiPriority w:val="0"/>
    <w:pPr>
      <w:ind w:left="1680"/>
    </w:pPr>
  </w:style>
  <w:style w:type="paragraph" w:styleId="7">
    <w:name w:val="annotation text"/>
    <w:basedOn w:val="1"/>
    <w:link w:val="35"/>
    <w:semiHidden/>
    <w:unhideWhenUsed/>
    <w:qFormat/>
    <w:uiPriority w:val="99"/>
    <w:pPr>
      <w:jc w:val="left"/>
    </w:pPr>
  </w:style>
  <w:style w:type="paragraph" w:styleId="8">
    <w:name w:val="index 6"/>
    <w:basedOn w:val="1"/>
    <w:next w:val="1"/>
    <w:qFormat/>
    <w:uiPriority w:val="0"/>
    <w:pPr>
      <w:ind w:left="2100"/>
    </w:pPr>
    <w:rPr>
      <w:rFonts w:ascii="Calibri" w:hAnsi="Calibri" w:eastAsia="宋体" w:cs="Times New Roman"/>
      <w:szCs w:val="20"/>
    </w:rPr>
  </w:style>
  <w:style w:type="paragraph" w:styleId="9">
    <w:name w:val="Body Text Indent"/>
    <w:basedOn w:val="1"/>
    <w:next w:val="10"/>
    <w:qFormat/>
    <w:uiPriority w:val="0"/>
    <w:pPr>
      <w:spacing w:after="120"/>
      <w:ind w:left="420" w:leftChars="200"/>
    </w:pPr>
  </w:style>
  <w:style w:type="paragraph" w:styleId="10">
    <w:name w:val="Plain Text"/>
    <w:basedOn w:val="1"/>
    <w:qFormat/>
    <w:uiPriority w:val="0"/>
    <w:pPr>
      <w:autoSpaceDE w:val="0"/>
      <w:autoSpaceDN w:val="0"/>
    </w:pPr>
    <w:rPr>
      <w:szCs w:val="21"/>
    </w:rPr>
  </w:style>
  <w:style w:type="paragraph" w:styleId="11">
    <w:name w:val="toc 3"/>
    <w:basedOn w:val="1"/>
    <w:next w:val="1"/>
    <w:qFormat/>
    <w:uiPriority w:val="0"/>
    <w:pPr>
      <w:ind w:left="840" w:leftChars="400"/>
    </w:pPr>
  </w:style>
  <w:style w:type="paragraph" w:styleId="12">
    <w:name w:val="Balloon Text"/>
    <w:basedOn w:val="1"/>
    <w:next w:val="1"/>
    <w:qFormat/>
    <w:uiPriority w:val="0"/>
    <w:rPr>
      <w:sz w:val="18"/>
      <w:szCs w:val="18"/>
    </w:rPr>
  </w:style>
  <w:style w:type="paragraph" w:styleId="13">
    <w:name w:val="footer"/>
    <w:basedOn w:val="1"/>
    <w:next w:val="6"/>
    <w:unhideWhenUsed/>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7"/>
    <w:next w:val="7"/>
    <w:link w:val="36"/>
    <w:qFormat/>
    <w:uiPriority w:val="0"/>
    <w:rPr>
      <w:b/>
      <w:bCs/>
    </w:rPr>
  </w:style>
  <w:style w:type="paragraph" w:styleId="19">
    <w:name w:val="Body Text First Indent 2"/>
    <w:basedOn w:val="9"/>
    <w:next w:val="8"/>
    <w:qFormat/>
    <w:uiPriority w:val="0"/>
    <w:pPr>
      <w:ind w:left="200" w:firstLine="200" w:firstLineChars="200"/>
    </w:pPr>
    <w:rPr>
      <w:rFonts w:ascii="Times New Roman" w:hAnsi="Times New Roman" w:eastAsia="宋体" w:cs="Arial"/>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Emphasis"/>
    <w:basedOn w:val="22"/>
    <w:qFormat/>
    <w:uiPriority w:val="0"/>
    <w:rPr>
      <w:rFonts w:cs="Times New Roman"/>
    </w:rPr>
  </w:style>
  <w:style w:type="character" w:styleId="25">
    <w:name w:val="annotation reference"/>
    <w:basedOn w:val="22"/>
    <w:qFormat/>
    <w:uiPriority w:val="0"/>
    <w:rPr>
      <w:sz w:val="21"/>
      <w:szCs w:val="21"/>
    </w:rPr>
  </w:style>
  <w:style w:type="paragraph" w:customStyle="1" w:styleId="26">
    <w:name w:val="正文文本首行缩进 21"/>
    <w:basedOn w:val="27"/>
    <w:qFormat/>
    <w:uiPriority w:val="0"/>
    <w:pPr>
      <w:ind w:firstLine="420"/>
    </w:pPr>
  </w:style>
  <w:style w:type="paragraph" w:customStyle="1" w:styleId="27">
    <w:name w:val="正文文本缩进1"/>
    <w:basedOn w:val="1"/>
    <w:qFormat/>
    <w:uiPriority w:val="0"/>
    <w:pPr>
      <w:spacing w:line="520" w:lineRule="exact"/>
      <w:ind w:firstLine="640" w:firstLineChars="200"/>
    </w:pPr>
    <w:rPr>
      <w:rFonts w:ascii="仿宋_GB2312" w:eastAsia="仿宋_GB2312"/>
      <w:sz w:val="32"/>
    </w:rPr>
  </w:style>
  <w:style w:type="paragraph" w:customStyle="1" w:styleId="28">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29">
    <w:name w:val="15"/>
    <w:basedOn w:val="22"/>
    <w:qFormat/>
    <w:uiPriority w:val="0"/>
    <w:rPr>
      <w:rFonts w:hint="default" w:ascii="Calibri" w:hAnsi="Calibri" w:cs="Calibri"/>
      <w:b/>
    </w:rPr>
  </w:style>
  <w:style w:type="paragraph" w:customStyle="1" w:styleId="30">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table" w:customStyle="1" w:styleId="31">
    <w:name w:val="网格型1"/>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4">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5">
    <w:name w:val="批注文字 Char"/>
    <w:basedOn w:val="22"/>
    <w:link w:val="7"/>
    <w:semiHidden/>
    <w:qFormat/>
    <w:uiPriority w:val="99"/>
    <w:rPr>
      <w:kern w:val="2"/>
      <w:sz w:val="21"/>
      <w:szCs w:val="24"/>
    </w:rPr>
  </w:style>
  <w:style w:type="character" w:customStyle="1" w:styleId="36">
    <w:name w:val="批注主题 Char"/>
    <w:basedOn w:val="35"/>
    <w:link w:val="1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19152</Words>
  <Characters>20269</Characters>
  <Lines>176</Lines>
  <Paragraphs>49</Paragraphs>
  <TotalTime>6</TotalTime>
  <ScaleCrop>false</ScaleCrop>
  <LinksUpToDate>false</LinksUpToDate>
  <CharactersWithSpaces>20714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2023-12-09T09:52:00Z</dcterms:created>
  <dc:creator>Administrator</dc:creator>
  <cp:lastModifiedBy>sun</cp:lastModifiedBy>
  <dcterms:modified xsi:type="dcterms:W3CDTF">2023-12-25T02:26:22Z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95EDFB8CF27F4DD3A82307A041D11E11_13</vt:lpwstr>
  </property>
</Properties>
</file>